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2BC0" w14:textId="77777777" w:rsidR="00FB785E" w:rsidRPr="004825BB" w:rsidRDefault="00FB785E" w:rsidP="00E23E78">
      <w:pPr>
        <w:pStyle w:val="MDPI11articletype"/>
      </w:pPr>
      <w:commentRangeStart w:id="0"/>
      <w:commentRangeStart w:id="1"/>
      <w:r w:rsidRPr="006744BD">
        <w:rPr>
          <w:highlight w:val="yellow"/>
        </w:rPr>
        <w:t>Article</w:t>
      </w:r>
      <w:commentRangeEnd w:id="0"/>
      <w:r w:rsidR="006744BD">
        <w:rPr>
          <w:rStyle w:val="Refdecomentario"/>
          <w:rFonts w:eastAsia="SimSun"/>
          <w:i w:val="0"/>
          <w:noProof/>
          <w:snapToGrid/>
          <w:kern w:val="0"/>
          <w:lang w:eastAsia="zh-CN" w:bidi="ar-SA"/>
          <w14:ligatures w14:val="none"/>
        </w:rPr>
        <w:commentReference w:id="0"/>
      </w:r>
      <w:commentRangeEnd w:id="1"/>
      <w:r w:rsidR="00896C60">
        <w:rPr>
          <w:rStyle w:val="Refdecomentario"/>
          <w:rFonts w:eastAsia="SimSun"/>
          <w:i w:val="0"/>
          <w:snapToGrid/>
          <w:kern w:val="0"/>
          <w:lang w:eastAsia="zh-CN" w:bidi="ar-SA"/>
          <w14:ligatures w14:val="none"/>
        </w:rPr>
        <w:commentReference w:id="1"/>
      </w:r>
    </w:p>
    <w:p w14:paraId="0453536C" w14:textId="77777777" w:rsidR="00FB785E" w:rsidRPr="004825BB" w:rsidRDefault="009F7D97" w:rsidP="00E23E78">
      <w:pPr>
        <w:pStyle w:val="MDPI12title"/>
      </w:pPr>
      <w:commentRangeStart w:id="2"/>
      <w:commentRangeStart w:id="3"/>
      <w:r w:rsidRPr="004825BB">
        <w:t xml:space="preserve">Impact of COVID-19 Confinement on </w:t>
      </w:r>
      <w:r w:rsidR="00FB785E" w:rsidRPr="004825BB">
        <w:t xml:space="preserve">Quality of </w:t>
      </w:r>
      <w:r w:rsidR="00020CE7" w:rsidRPr="004825BB">
        <w:t xml:space="preserve">Life </w:t>
      </w:r>
      <w:r w:rsidR="00797BF9">
        <w:br/>
      </w:r>
      <w:r w:rsidR="00FB785E" w:rsidRPr="004825BB">
        <w:t xml:space="preserve">of </w:t>
      </w:r>
      <w:r w:rsidR="00020CE7" w:rsidRPr="004825BB">
        <w:t xml:space="preserve">Patients </w:t>
      </w:r>
      <w:r w:rsidR="00FB785E" w:rsidRPr="004825BB">
        <w:t xml:space="preserve">with </w:t>
      </w:r>
      <w:r w:rsidR="00020CE7" w:rsidRPr="004825BB">
        <w:t>Age-Related Macular Degeneration</w:t>
      </w:r>
      <w:r w:rsidR="00FB785E" w:rsidRPr="004825BB">
        <w:t xml:space="preserve">: </w:t>
      </w:r>
      <w:r w:rsidR="00797BF9">
        <w:br/>
      </w:r>
      <w:r w:rsidR="00020CE7" w:rsidRPr="004825BB">
        <w:t>A Two-Wave Panel Study</w:t>
      </w:r>
      <w:commentRangeEnd w:id="2"/>
      <w:r w:rsidRPr="004825BB">
        <w:rPr>
          <w:rStyle w:val="Refdecomentario"/>
          <w:rFonts w:eastAsia="SimSun"/>
          <w:b w:val="0"/>
          <w:snapToGrid/>
          <w:kern w:val="0"/>
          <w:lang w:eastAsia="zh-CN" w:bidi="ar-SA"/>
          <w14:ligatures w14:val="none"/>
        </w:rPr>
        <w:commentReference w:id="2"/>
      </w:r>
      <w:commentRangeEnd w:id="3"/>
      <w:r w:rsidR="00896C60">
        <w:rPr>
          <w:rStyle w:val="Refdecomentario"/>
          <w:rFonts w:eastAsia="SimSun"/>
          <w:b w:val="0"/>
          <w:snapToGrid/>
          <w:kern w:val="0"/>
          <w:lang w:eastAsia="zh-CN" w:bidi="ar-SA"/>
          <w14:ligatures w14:val="none"/>
        </w:rPr>
        <w:commentReference w:id="3"/>
      </w:r>
    </w:p>
    <w:p w14:paraId="0BB41494" w14:textId="77777777" w:rsidR="000D5CB2" w:rsidRPr="00775F40" w:rsidRDefault="00FB785E" w:rsidP="00E23E78">
      <w:pPr>
        <w:pStyle w:val="MDPI13authornames"/>
        <w:rPr>
          <w:lang w:val="es-ES"/>
        </w:rPr>
      </w:pPr>
      <w:commentRangeStart w:id="4"/>
      <w:commentRangeStart w:id="5"/>
      <w:commentRangeStart w:id="6"/>
      <w:commentRangeStart w:id="7"/>
      <w:r w:rsidRPr="00775F40">
        <w:rPr>
          <w:highlight w:val="yellow"/>
          <w:lang w:val="es-ES"/>
        </w:rPr>
        <w:t>María</w:t>
      </w:r>
      <w:commentRangeEnd w:id="4"/>
      <w:r w:rsidR="00684535" w:rsidRPr="004825BB">
        <w:rPr>
          <w:rStyle w:val="Refdecomentario"/>
          <w:rFonts w:eastAsia="SimSun"/>
          <w:b w:val="0"/>
          <w:kern w:val="0"/>
          <w:lang w:eastAsia="zh-CN" w:bidi="ar-SA"/>
          <w14:ligatures w14:val="none"/>
        </w:rPr>
        <w:commentReference w:id="4"/>
      </w:r>
      <w:commentRangeEnd w:id="6"/>
      <w:r w:rsidR="00896C60">
        <w:rPr>
          <w:rStyle w:val="Refdecomentario"/>
          <w:rFonts w:eastAsia="SimSun"/>
          <w:b w:val="0"/>
          <w:kern w:val="0"/>
          <w:lang w:eastAsia="zh-CN" w:bidi="ar-SA"/>
          <w14:ligatures w14:val="none"/>
        </w:rPr>
        <w:commentReference w:id="6"/>
      </w:r>
      <w:r w:rsidRPr="00775F40">
        <w:rPr>
          <w:highlight w:val="yellow"/>
          <w:lang w:val="es-ES"/>
        </w:rPr>
        <w:t xml:space="preserve"> R. Sanabria</w:t>
      </w:r>
      <w:r w:rsidR="00E23E78" w:rsidRPr="00775F40">
        <w:rPr>
          <w:lang w:val="es-ES"/>
        </w:rPr>
        <w:t xml:space="preserve"> </w:t>
      </w:r>
      <w:r w:rsidRPr="00775F40">
        <w:rPr>
          <w:vertAlign w:val="superscript"/>
          <w:lang w:val="es-ES"/>
        </w:rPr>
        <w:t>1,</w:t>
      </w:r>
      <w:commentRangeEnd w:id="5"/>
      <w:r w:rsidR="00E23E78" w:rsidRPr="004825BB">
        <w:rPr>
          <w:rStyle w:val="Refdecomentario"/>
          <w:rFonts w:eastAsia="SimSun"/>
          <w:b w:val="0"/>
          <w:kern w:val="0"/>
          <w:lang w:eastAsia="zh-CN" w:bidi="ar-SA"/>
          <w14:ligatures w14:val="none"/>
        </w:rPr>
        <w:commentReference w:id="5"/>
      </w:r>
      <w:commentRangeEnd w:id="7"/>
      <w:r w:rsidR="00896C60">
        <w:rPr>
          <w:rStyle w:val="Refdecomentario"/>
          <w:rFonts w:eastAsia="SimSun"/>
          <w:b w:val="0"/>
          <w:kern w:val="0"/>
          <w:lang w:eastAsia="zh-CN" w:bidi="ar-SA"/>
          <w14:ligatures w14:val="none"/>
        </w:rPr>
        <w:commentReference w:id="7"/>
      </w:r>
      <w:r w:rsidRPr="00775F40">
        <w:rPr>
          <w:vertAlign w:val="superscript"/>
          <w:lang w:val="es-ES"/>
        </w:rPr>
        <w:t>2,3</w:t>
      </w:r>
      <w:r w:rsidRPr="00775F40">
        <w:rPr>
          <w:lang w:val="es-ES"/>
        </w:rPr>
        <w:t>, Paola S. Calles-</w:t>
      </w:r>
      <w:proofErr w:type="spellStart"/>
      <w:r w:rsidRPr="00775F40">
        <w:rPr>
          <w:lang w:val="es-ES"/>
        </w:rPr>
        <w:t>Monar</w:t>
      </w:r>
      <w:proofErr w:type="spellEnd"/>
      <w:r w:rsidRPr="00775F40">
        <w:rPr>
          <w:lang w:val="es-ES"/>
        </w:rPr>
        <w:t xml:space="preserve"> </w:t>
      </w:r>
      <w:r w:rsidRPr="00775F40">
        <w:rPr>
          <w:vertAlign w:val="superscript"/>
          <w:lang w:val="es-ES"/>
        </w:rPr>
        <w:t>1</w:t>
      </w:r>
      <w:r w:rsidRPr="00775F40">
        <w:rPr>
          <w:lang w:val="es-ES"/>
        </w:rPr>
        <w:t xml:space="preserve">, </w:t>
      </w:r>
      <w:r w:rsidRPr="00775F40">
        <w:rPr>
          <w:highlight w:val="yellow"/>
          <w:lang w:val="es-ES"/>
        </w:rPr>
        <w:t>Ana M. Alonso-Tarancón</w:t>
      </w:r>
      <w:r w:rsidR="00E23E78" w:rsidRPr="00775F40">
        <w:rPr>
          <w:lang w:val="es-ES"/>
        </w:rPr>
        <w:t xml:space="preserve"> </w:t>
      </w:r>
      <w:r w:rsidRPr="00775F40">
        <w:rPr>
          <w:vertAlign w:val="superscript"/>
          <w:lang w:val="es-ES"/>
        </w:rPr>
        <w:t>1</w:t>
      </w:r>
      <w:r w:rsidRPr="00775F40">
        <w:rPr>
          <w:lang w:val="es-ES"/>
        </w:rPr>
        <w:t xml:space="preserve">, </w:t>
      </w:r>
      <w:r w:rsidRPr="00775F40">
        <w:rPr>
          <w:highlight w:val="yellow"/>
          <w:lang w:val="es-ES"/>
        </w:rPr>
        <w:t>Rosa M. Coco-Martín</w:t>
      </w:r>
      <w:r w:rsidR="00E23E78" w:rsidRPr="00775F40">
        <w:rPr>
          <w:lang w:val="es-ES"/>
        </w:rPr>
        <w:t xml:space="preserve"> </w:t>
      </w:r>
      <w:r w:rsidRPr="00775F40">
        <w:rPr>
          <w:vertAlign w:val="superscript"/>
          <w:lang w:val="es-ES"/>
        </w:rPr>
        <w:t>2,</w:t>
      </w:r>
      <w:proofErr w:type="gramStart"/>
      <w:r w:rsidRPr="00775F40">
        <w:rPr>
          <w:vertAlign w:val="superscript"/>
          <w:lang w:val="es-ES"/>
        </w:rPr>
        <w:t>3</w:t>
      </w:r>
      <w:r w:rsidR="0070052A" w:rsidRPr="00775F40">
        <w:rPr>
          <w:vertAlign w:val="superscript"/>
          <w:lang w:val="es-ES"/>
        </w:rPr>
        <w:t>,</w:t>
      </w:r>
      <w:r w:rsidR="0070052A" w:rsidRPr="00775F40">
        <w:rPr>
          <w:lang w:val="es-ES"/>
        </w:rPr>
        <w:t>*</w:t>
      </w:r>
      <w:proofErr w:type="gramEnd"/>
      <w:r w:rsidR="00E23E78" w:rsidRPr="00775F40">
        <w:rPr>
          <w:lang w:val="es-ES"/>
        </w:rPr>
        <w:t xml:space="preserve"> </w:t>
      </w:r>
      <w:r w:rsidR="006826FA" w:rsidRPr="00775F40">
        <w:rPr>
          <w:lang w:val="es-ES"/>
        </w:rPr>
        <w:br/>
      </w:r>
      <w:r w:rsidR="00E23E78" w:rsidRPr="00775F40">
        <w:rPr>
          <w:lang w:val="es-ES"/>
        </w:rPr>
        <w:t xml:space="preserve">and </w:t>
      </w:r>
      <w:r w:rsidRPr="00775F40">
        <w:rPr>
          <w:highlight w:val="yellow"/>
          <w:lang w:val="es-ES"/>
        </w:rPr>
        <w:t>Agustín Mayo-</w:t>
      </w:r>
      <w:proofErr w:type="spellStart"/>
      <w:r w:rsidRPr="00775F40">
        <w:rPr>
          <w:highlight w:val="yellow"/>
          <w:lang w:val="es-ES"/>
        </w:rPr>
        <w:t>Iscar</w:t>
      </w:r>
      <w:proofErr w:type="spellEnd"/>
      <w:r w:rsidR="00E23E78" w:rsidRPr="00775F40">
        <w:rPr>
          <w:lang w:val="es-ES"/>
        </w:rPr>
        <w:t xml:space="preserve"> </w:t>
      </w:r>
      <w:r w:rsidRPr="00775F40">
        <w:rPr>
          <w:vertAlign w:val="superscript"/>
          <w:lang w:val="es-ES"/>
        </w:rPr>
        <w:t>4</w:t>
      </w:r>
    </w:p>
    <w:p w14:paraId="16862A0A" w14:textId="01A9760D" w:rsidR="00FB785E" w:rsidRPr="00775F40" w:rsidRDefault="00FB785E" w:rsidP="00E23E78">
      <w:pPr>
        <w:pStyle w:val="MDPI16affiliation"/>
        <w:rPr>
          <w:lang w:val="es-ES"/>
        </w:rPr>
      </w:pPr>
      <w:r w:rsidRPr="00775F40">
        <w:rPr>
          <w:vertAlign w:val="superscript"/>
          <w:lang w:val="es-ES"/>
        </w:rPr>
        <w:t>1</w:t>
      </w:r>
      <w:r w:rsidR="00E23E78" w:rsidRPr="00775F40">
        <w:rPr>
          <w:lang w:val="es-ES"/>
        </w:rPr>
        <w:tab/>
      </w:r>
      <w:bookmarkStart w:id="8" w:name="OLE_LINK1"/>
      <w:r w:rsidRPr="00775F40">
        <w:rPr>
          <w:lang w:val="es-ES"/>
        </w:rPr>
        <w:t xml:space="preserve">Palencia </w:t>
      </w:r>
      <w:proofErr w:type="spellStart"/>
      <w:r w:rsidRPr="00775F40">
        <w:rPr>
          <w:lang w:val="es-ES"/>
        </w:rPr>
        <w:t>University</w:t>
      </w:r>
      <w:proofErr w:type="spellEnd"/>
      <w:r w:rsidRPr="00775F40">
        <w:rPr>
          <w:lang w:val="es-ES"/>
        </w:rPr>
        <w:t xml:space="preserve"> Hospital </w:t>
      </w:r>
      <w:proofErr w:type="spellStart"/>
      <w:r w:rsidRPr="00775F40">
        <w:rPr>
          <w:lang w:val="es-ES"/>
        </w:rPr>
        <w:t>Complex</w:t>
      </w:r>
      <w:bookmarkEnd w:id="8"/>
      <w:proofErr w:type="spellEnd"/>
      <w:r w:rsidRPr="00775F40">
        <w:rPr>
          <w:lang w:val="es-ES"/>
        </w:rPr>
        <w:t xml:space="preserve">, Sanidad Castilla y </w:t>
      </w:r>
      <w:proofErr w:type="spellStart"/>
      <w:r w:rsidRPr="00775F40">
        <w:rPr>
          <w:lang w:val="es-ES"/>
        </w:rPr>
        <w:t>Leon</w:t>
      </w:r>
      <w:proofErr w:type="spellEnd"/>
      <w:r w:rsidRPr="00775F40">
        <w:rPr>
          <w:lang w:val="es-ES"/>
        </w:rPr>
        <w:t xml:space="preserve"> (SACYL), </w:t>
      </w:r>
      <w:commentRangeStart w:id="9"/>
      <w:commentRangeStart w:id="10"/>
      <w:commentRangeStart w:id="11"/>
      <w:r w:rsidRPr="00775F40">
        <w:rPr>
          <w:highlight w:val="yellow"/>
          <w:lang w:val="es-ES"/>
        </w:rPr>
        <w:t>Palencia</w:t>
      </w:r>
      <w:commentRangeEnd w:id="9"/>
      <w:r w:rsidR="00BE21DC">
        <w:rPr>
          <w:rStyle w:val="Refdecomentario"/>
          <w:rFonts w:eastAsia="SimSun"/>
          <w:noProof/>
          <w:kern w:val="0"/>
          <w:lang w:eastAsia="zh-CN" w:bidi="ar-SA"/>
          <w14:ligatures w14:val="none"/>
        </w:rPr>
        <w:commentReference w:id="9"/>
      </w:r>
      <w:commentRangeEnd w:id="10"/>
      <w:commentRangeEnd w:id="11"/>
      <w:r w:rsidR="00896C60">
        <w:rPr>
          <w:rStyle w:val="Refdecomentario"/>
          <w:rFonts w:eastAsia="SimSun"/>
          <w:kern w:val="0"/>
          <w:lang w:eastAsia="zh-CN" w:bidi="ar-SA"/>
          <w14:ligatures w14:val="none"/>
        </w:rPr>
        <w:commentReference w:id="11"/>
      </w:r>
      <w:r w:rsidR="001B31E7">
        <w:rPr>
          <w:rStyle w:val="Refdecomentario"/>
          <w:rFonts w:eastAsia="SimSun"/>
          <w:kern w:val="0"/>
          <w:lang w:eastAsia="zh-CN" w:bidi="ar-SA"/>
          <w14:ligatures w14:val="none"/>
        </w:rPr>
        <w:commentReference w:id="10"/>
      </w:r>
      <w:r w:rsidRPr="00775F40">
        <w:rPr>
          <w:lang w:val="es-ES"/>
        </w:rPr>
        <w:t>,</w:t>
      </w:r>
      <w:r w:rsidR="00896C60">
        <w:rPr>
          <w:lang w:val="es-ES"/>
        </w:rPr>
        <w:t xml:space="preserve"> 34004,</w:t>
      </w:r>
      <w:r w:rsidRPr="00775F40">
        <w:rPr>
          <w:lang w:val="es-ES"/>
        </w:rPr>
        <w:t xml:space="preserve"> </w:t>
      </w:r>
      <w:proofErr w:type="spellStart"/>
      <w:r w:rsidRPr="00775F40">
        <w:rPr>
          <w:lang w:val="es-ES"/>
        </w:rPr>
        <w:t>Spain</w:t>
      </w:r>
      <w:proofErr w:type="spellEnd"/>
      <w:r w:rsidR="00544097" w:rsidRPr="00775F40">
        <w:rPr>
          <w:lang w:val="es-ES"/>
        </w:rPr>
        <w:t>; mrsanabria@saludcastillayleon.es (M.R.S.); paolacallesm@gmail.com (P.S.C.-M.); amalonsotarancon@saludcastillayleon.es (A.M.A.-T.)</w:t>
      </w:r>
    </w:p>
    <w:p w14:paraId="340784EB" w14:textId="667F48CD" w:rsidR="00FB785E" w:rsidRPr="00775F40" w:rsidRDefault="00FB785E" w:rsidP="00E23E78">
      <w:pPr>
        <w:pStyle w:val="MDPI16affiliation"/>
        <w:rPr>
          <w:lang w:val="es-ES"/>
        </w:rPr>
      </w:pPr>
      <w:r w:rsidRPr="00775F40">
        <w:rPr>
          <w:vertAlign w:val="superscript"/>
          <w:lang w:val="es-ES"/>
        </w:rPr>
        <w:t>2</w:t>
      </w:r>
      <w:r w:rsidR="00E23E78" w:rsidRPr="00775F40">
        <w:rPr>
          <w:lang w:val="es-ES"/>
        </w:rPr>
        <w:tab/>
      </w:r>
      <w:proofErr w:type="gramStart"/>
      <w:r w:rsidRPr="00775F40">
        <w:rPr>
          <w:lang w:val="es-ES"/>
        </w:rPr>
        <w:t>Instituto</w:t>
      </w:r>
      <w:proofErr w:type="gramEnd"/>
      <w:r w:rsidRPr="00775F40">
        <w:rPr>
          <w:lang w:val="es-ES"/>
        </w:rPr>
        <w:t xml:space="preserve"> de </w:t>
      </w:r>
      <w:proofErr w:type="spellStart"/>
      <w:r w:rsidRPr="00775F40">
        <w:rPr>
          <w:lang w:val="es-ES"/>
        </w:rPr>
        <w:t>Oftalmobiología</w:t>
      </w:r>
      <w:proofErr w:type="spellEnd"/>
      <w:r w:rsidRPr="00775F40">
        <w:rPr>
          <w:lang w:val="es-ES"/>
        </w:rPr>
        <w:t xml:space="preserve"> Aplicada</w:t>
      </w:r>
      <w:r w:rsidR="00455C91">
        <w:rPr>
          <w:lang w:val="es-ES"/>
        </w:rPr>
        <w:t xml:space="preserve"> </w:t>
      </w:r>
      <w:r w:rsidRPr="00775F40">
        <w:rPr>
          <w:lang w:val="es-ES"/>
        </w:rPr>
        <w:t>(IOBA)</w:t>
      </w:r>
      <w:r w:rsidR="00455C91">
        <w:rPr>
          <w:lang w:val="es-ES"/>
        </w:rPr>
        <w:t xml:space="preserve"> &amp; Facultad de Medicina</w:t>
      </w:r>
      <w:r w:rsidRPr="00775F40">
        <w:rPr>
          <w:lang w:val="es-ES"/>
        </w:rPr>
        <w:t xml:space="preserve">, Universidad de Valladolid, </w:t>
      </w:r>
      <w:commentRangeStart w:id="12"/>
      <w:commentRangeStart w:id="13"/>
      <w:r w:rsidR="001E04CE" w:rsidRPr="00775F40">
        <w:rPr>
          <w:highlight w:val="yellow"/>
          <w:lang w:val="es-ES"/>
        </w:rPr>
        <w:t>47011</w:t>
      </w:r>
      <w:commentRangeEnd w:id="12"/>
      <w:r w:rsidR="00BE21DC">
        <w:rPr>
          <w:rStyle w:val="Refdecomentario"/>
          <w:rFonts w:eastAsia="SimSun"/>
          <w:noProof/>
          <w:kern w:val="0"/>
          <w:lang w:eastAsia="zh-CN" w:bidi="ar-SA"/>
          <w14:ligatures w14:val="none"/>
        </w:rPr>
        <w:commentReference w:id="12"/>
      </w:r>
      <w:commentRangeEnd w:id="13"/>
      <w:r w:rsidR="00455C91">
        <w:rPr>
          <w:rStyle w:val="Refdecomentario"/>
          <w:rFonts w:eastAsia="SimSun"/>
          <w:kern w:val="0"/>
          <w:lang w:eastAsia="zh-CN" w:bidi="ar-SA"/>
          <w14:ligatures w14:val="none"/>
        </w:rPr>
        <w:commentReference w:id="13"/>
      </w:r>
      <w:r w:rsidR="001E04CE" w:rsidRPr="00775F40">
        <w:rPr>
          <w:highlight w:val="yellow"/>
          <w:lang w:val="es-ES"/>
        </w:rPr>
        <w:t xml:space="preserve"> </w:t>
      </w:r>
      <w:r w:rsidRPr="00775F40">
        <w:rPr>
          <w:highlight w:val="yellow"/>
          <w:lang w:val="es-ES"/>
        </w:rPr>
        <w:t>Valladolid</w:t>
      </w:r>
      <w:r w:rsidRPr="00775F40">
        <w:rPr>
          <w:lang w:val="es-ES"/>
        </w:rPr>
        <w:t xml:space="preserve">, </w:t>
      </w:r>
      <w:proofErr w:type="spellStart"/>
      <w:r w:rsidRPr="00775F40">
        <w:rPr>
          <w:lang w:val="es-ES"/>
        </w:rPr>
        <w:t>Spain</w:t>
      </w:r>
      <w:proofErr w:type="spellEnd"/>
    </w:p>
    <w:p w14:paraId="1F83098F" w14:textId="77777777" w:rsidR="00FB785E" w:rsidRPr="00775F40" w:rsidRDefault="00FB785E" w:rsidP="00E23E78">
      <w:pPr>
        <w:pStyle w:val="MDPI16affiliation"/>
        <w:rPr>
          <w:lang w:val="es-ES"/>
        </w:rPr>
      </w:pPr>
      <w:r w:rsidRPr="00775F40">
        <w:rPr>
          <w:vertAlign w:val="superscript"/>
          <w:lang w:val="es-ES"/>
        </w:rPr>
        <w:t>3</w:t>
      </w:r>
      <w:r w:rsidR="00E23E78" w:rsidRPr="00775F40">
        <w:rPr>
          <w:lang w:val="es-ES"/>
        </w:rPr>
        <w:tab/>
      </w:r>
      <w:r w:rsidRPr="00775F40">
        <w:rPr>
          <w:lang w:val="es-ES"/>
        </w:rPr>
        <w:t xml:space="preserve">RICORS de Enfermedades Inflamatorias, Carlos III </w:t>
      </w:r>
      <w:proofErr w:type="spellStart"/>
      <w:r w:rsidRPr="00775F40">
        <w:rPr>
          <w:lang w:val="es-ES"/>
        </w:rPr>
        <w:t>Health</w:t>
      </w:r>
      <w:proofErr w:type="spellEnd"/>
      <w:r w:rsidRPr="00775F40">
        <w:rPr>
          <w:lang w:val="es-ES"/>
        </w:rPr>
        <w:t xml:space="preserve"> </w:t>
      </w:r>
      <w:proofErr w:type="spellStart"/>
      <w:r w:rsidRPr="00775F40">
        <w:rPr>
          <w:lang w:val="es-ES"/>
        </w:rPr>
        <w:t>Institute</w:t>
      </w:r>
      <w:proofErr w:type="spellEnd"/>
      <w:r w:rsidRPr="00775F40">
        <w:rPr>
          <w:lang w:val="es-ES"/>
        </w:rPr>
        <w:t xml:space="preserve">, </w:t>
      </w:r>
      <w:r w:rsidR="001E04CE" w:rsidRPr="00775F40">
        <w:rPr>
          <w:highlight w:val="yellow"/>
          <w:lang w:val="es-ES"/>
        </w:rPr>
        <w:t xml:space="preserve">28220 </w:t>
      </w:r>
      <w:r w:rsidRPr="00775F40">
        <w:rPr>
          <w:highlight w:val="yellow"/>
          <w:lang w:val="es-ES"/>
        </w:rPr>
        <w:t>Madrid</w:t>
      </w:r>
      <w:r w:rsidRPr="00775F40">
        <w:rPr>
          <w:lang w:val="es-ES"/>
        </w:rPr>
        <w:t xml:space="preserve">, </w:t>
      </w:r>
      <w:proofErr w:type="spellStart"/>
      <w:r w:rsidRPr="00775F40">
        <w:rPr>
          <w:lang w:val="es-ES"/>
        </w:rPr>
        <w:t>Spain</w:t>
      </w:r>
      <w:proofErr w:type="spellEnd"/>
    </w:p>
    <w:p w14:paraId="011272CB" w14:textId="77777777" w:rsidR="00FB785E" w:rsidRPr="00775F40" w:rsidRDefault="00FB785E" w:rsidP="00E23E78">
      <w:pPr>
        <w:pStyle w:val="MDPI16affiliation"/>
        <w:rPr>
          <w:lang w:val="es-ES"/>
        </w:rPr>
      </w:pPr>
      <w:r w:rsidRPr="00775F40">
        <w:rPr>
          <w:vertAlign w:val="superscript"/>
          <w:lang w:val="es-ES"/>
        </w:rPr>
        <w:t>4</w:t>
      </w:r>
      <w:r w:rsidR="00E23E78" w:rsidRPr="00775F40">
        <w:rPr>
          <w:lang w:val="es-ES"/>
        </w:rPr>
        <w:tab/>
      </w:r>
      <w:commentRangeStart w:id="14"/>
      <w:commentRangeStart w:id="15"/>
      <w:proofErr w:type="spellStart"/>
      <w:r w:rsidR="00045CB0" w:rsidRPr="00775F40">
        <w:rPr>
          <w:highlight w:val="yellow"/>
          <w:lang w:val="es-ES"/>
        </w:rPr>
        <w:t>Department</w:t>
      </w:r>
      <w:proofErr w:type="spellEnd"/>
      <w:r w:rsidR="00045CB0" w:rsidRPr="00775F40">
        <w:rPr>
          <w:highlight w:val="yellow"/>
          <w:lang w:val="es-ES"/>
        </w:rPr>
        <w:t xml:space="preserve"> </w:t>
      </w:r>
      <w:proofErr w:type="spellStart"/>
      <w:r w:rsidR="00045CB0" w:rsidRPr="00775F40">
        <w:rPr>
          <w:highlight w:val="yellow"/>
          <w:lang w:val="es-ES"/>
        </w:rPr>
        <w:t>of</w:t>
      </w:r>
      <w:proofErr w:type="spellEnd"/>
      <w:r w:rsidR="00045CB0" w:rsidRPr="00775F40">
        <w:rPr>
          <w:highlight w:val="yellow"/>
          <w:lang w:val="es-ES"/>
        </w:rPr>
        <w:t xml:space="preserve"> </w:t>
      </w:r>
      <w:proofErr w:type="spellStart"/>
      <w:r w:rsidR="00045CB0" w:rsidRPr="00775F40">
        <w:rPr>
          <w:highlight w:val="yellow"/>
          <w:lang w:val="es-ES"/>
        </w:rPr>
        <w:t>Statistics</w:t>
      </w:r>
      <w:proofErr w:type="spellEnd"/>
      <w:r w:rsidR="00045CB0" w:rsidRPr="00775F40">
        <w:rPr>
          <w:highlight w:val="yellow"/>
          <w:lang w:val="es-ES"/>
        </w:rPr>
        <w:t xml:space="preserve"> and </w:t>
      </w:r>
      <w:proofErr w:type="spellStart"/>
      <w:r w:rsidR="00045CB0" w:rsidRPr="00775F40">
        <w:rPr>
          <w:highlight w:val="yellow"/>
          <w:lang w:val="es-ES"/>
        </w:rPr>
        <w:t>Operations</w:t>
      </w:r>
      <w:proofErr w:type="spellEnd"/>
      <w:r w:rsidR="00045CB0" w:rsidRPr="00775F40">
        <w:rPr>
          <w:highlight w:val="yellow"/>
          <w:lang w:val="es-ES"/>
        </w:rPr>
        <w:t xml:space="preserve"> </w:t>
      </w:r>
      <w:proofErr w:type="spellStart"/>
      <w:r w:rsidR="00045CB0" w:rsidRPr="00775F40">
        <w:rPr>
          <w:highlight w:val="yellow"/>
          <w:lang w:val="es-ES"/>
        </w:rPr>
        <w:t>Research</w:t>
      </w:r>
      <w:proofErr w:type="spellEnd"/>
      <w:r w:rsidR="00045CB0" w:rsidRPr="00775F40">
        <w:rPr>
          <w:highlight w:val="yellow"/>
          <w:lang w:val="es-ES"/>
        </w:rPr>
        <w:t>,</w:t>
      </w:r>
      <w:r w:rsidRPr="00775F40">
        <w:rPr>
          <w:highlight w:val="yellow"/>
          <w:lang w:val="es-ES"/>
        </w:rPr>
        <w:t xml:space="preserve"> </w:t>
      </w:r>
      <w:r w:rsidR="00E911C9" w:rsidRPr="00775F40">
        <w:rPr>
          <w:highlight w:val="yellow"/>
          <w:lang w:val="es-ES"/>
        </w:rPr>
        <w:t>Instituto de Investigación en Matemáticas (</w:t>
      </w:r>
      <w:proofErr w:type="spellStart"/>
      <w:r w:rsidR="00E911C9" w:rsidRPr="00775F40">
        <w:rPr>
          <w:highlight w:val="yellow"/>
          <w:lang w:val="es-ES"/>
        </w:rPr>
        <w:t>IMUVa</w:t>
      </w:r>
      <w:proofErr w:type="spellEnd"/>
      <w:r w:rsidR="00E911C9" w:rsidRPr="00775F40">
        <w:rPr>
          <w:highlight w:val="yellow"/>
          <w:lang w:val="es-ES"/>
        </w:rPr>
        <w:t>)</w:t>
      </w:r>
      <w:r w:rsidRPr="00775F40">
        <w:rPr>
          <w:highlight w:val="yellow"/>
          <w:lang w:val="es-ES"/>
        </w:rPr>
        <w:t>,</w:t>
      </w:r>
      <w:r w:rsidRPr="00775F40">
        <w:rPr>
          <w:lang w:val="es-ES"/>
        </w:rPr>
        <w:t xml:space="preserve"> </w:t>
      </w:r>
      <w:commentRangeEnd w:id="14"/>
      <w:r w:rsidR="00BE21DC">
        <w:rPr>
          <w:rStyle w:val="Refdecomentario"/>
          <w:rFonts w:eastAsia="SimSun"/>
          <w:noProof/>
          <w:kern w:val="0"/>
          <w:lang w:eastAsia="zh-CN" w:bidi="ar-SA"/>
          <w14:ligatures w14:val="none"/>
        </w:rPr>
        <w:commentReference w:id="14"/>
      </w:r>
      <w:commentRangeEnd w:id="15"/>
      <w:r w:rsidR="00455C91">
        <w:rPr>
          <w:rStyle w:val="Refdecomentario"/>
          <w:rFonts w:eastAsia="SimSun"/>
          <w:kern w:val="0"/>
          <w:lang w:eastAsia="zh-CN" w:bidi="ar-SA"/>
          <w14:ligatures w14:val="none"/>
        </w:rPr>
        <w:commentReference w:id="15"/>
      </w:r>
      <w:r w:rsidRPr="00775F40">
        <w:rPr>
          <w:lang w:val="es-ES"/>
        </w:rPr>
        <w:t xml:space="preserve">Universidad de Valladolid, </w:t>
      </w:r>
      <w:r w:rsidR="00F96306" w:rsidRPr="00775F40">
        <w:rPr>
          <w:highlight w:val="yellow"/>
          <w:lang w:val="es-ES"/>
        </w:rPr>
        <w:t xml:space="preserve">47011 </w:t>
      </w:r>
      <w:r w:rsidRPr="00775F40">
        <w:rPr>
          <w:highlight w:val="yellow"/>
          <w:lang w:val="es-ES"/>
        </w:rPr>
        <w:t>Valladolid</w:t>
      </w:r>
      <w:r w:rsidRPr="00775F40">
        <w:rPr>
          <w:lang w:val="es-ES"/>
        </w:rPr>
        <w:t xml:space="preserve">, </w:t>
      </w:r>
      <w:proofErr w:type="spellStart"/>
      <w:r w:rsidRPr="00775F40">
        <w:rPr>
          <w:lang w:val="es-ES"/>
        </w:rPr>
        <w:t>Spain</w:t>
      </w:r>
      <w:proofErr w:type="spellEnd"/>
      <w:r w:rsidR="000B44C6" w:rsidRPr="00775F40">
        <w:rPr>
          <w:lang w:val="es-ES"/>
        </w:rPr>
        <w:t>; agustin.mayo.iscar@uva.es</w:t>
      </w:r>
    </w:p>
    <w:p w14:paraId="3BCA7FEE" w14:textId="77777777" w:rsidR="0070052A" w:rsidRPr="004825BB" w:rsidRDefault="00E23E78" w:rsidP="0070052A">
      <w:pPr>
        <w:pStyle w:val="MDPI16affiliation"/>
        <w:rPr>
          <w:color w:val="000000" w:themeColor="text1"/>
        </w:rPr>
      </w:pPr>
      <w:r w:rsidRPr="004825BB">
        <w:rPr>
          <w:b/>
        </w:rPr>
        <w:t>*</w:t>
      </w:r>
      <w:r w:rsidRPr="004825BB">
        <w:tab/>
        <w:t xml:space="preserve">Correspondence: </w:t>
      </w:r>
      <w:r w:rsidR="00FB785E" w:rsidRPr="004825BB">
        <w:rPr>
          <w:color w:val="000000" w:themeColor="text1"/>
        </w:rPr>
        <w:t>rosamcoco@uva.es</w:t>
      </w:r>
      <w:r w:rsidR="00FB785E" w:rsidRPr="004825BB">
        <w:t>; Tel.: +</w:t>
      </w:r>
      <w:r w:rsidR="00FB785E" w:rsidRPr="004825BB">
        <w:rPr>
          <w:color w:val="000000" w:themeColor="text1"/>
        </w:rPr>
        <w:t>34</w:t>
      </w:r>
      <w:r w:rsidR="00DD0707" w:rsidRPr="004825BB">
        <w:rPr>
          <w:color w:val="000000" w:themeColor="text1"/>
        </w:rPr>
        <w:t>-</w:t>
      </w:r>
      <w:r w:rsidR="00FB785E" w:rsidRPr="004825BB">
        <w:rPr>
          <w:color w:val="000000" w:themeColor="text1"/>
        </w:rPr>
        <w:t>983184738</w:t>
      </w:r>
    </w:p>
    <w:tbl>
      <w:tblPr>
        <w:tblStyle w:val="MDPITable"/>
        <w:tblpPr w:leftFromText="198" w:rightFromText="198" w:vertAnchor="page" w:horzAnchor="margin" w:tblpY="9334"/>
        <w:tblW w:w="2409" w:type="dxa"/>
        <w:tblLayout w:type="fixed"/>
        <w:tblLook w:val="04A0" w:firstRow="1" w:lastRow="0" w:firstColumn="1" w:lastColumn="0" w:noHBand="0" w:noVBand="1"/>
      </w:tblPr>
      <w:tblGrid>
        <w:gridCol w:w="2409"/>
      </w:tblGrid>
      <w:tr w:rsidR="00672FA2" w:rsidRPr="004825BB" w14:paraId="20977BCB" w14:textId="77777777" w:rsidTr="00672FA2">
        <w:trPr>
          <w:cantSplit/>
        </w:trPr>
        <w:tc>
          <w:tcPr>
            <w:tcW w:w="2409" w:type="dxa"/>
          </w:tcPr>
          <w:p w14:paraId="629AB16A" w14:textId="77777777" w:rsidR="00672FA2" w:rsidRPr="004825BB" w:rsidRDefault="00672FA2" w:rsidP="00672FA2">
            <w:pPr>
              <w:pStyle w:val="MDPI61Citation"/>
              <w:rPr>
                <w:lang w:val="en-US"/>
              </w:rPr>
            </w:pPr>
            <w:commentRangeStart w:id="16"/>
            <w:commentRangeStart w:id="17"/>
            <w:r w:rsidRPr="004825BB">
              <w:rPr>
                <w:b/>
                <w:highlight w:val="yellow"/>
                <w:lang w:val="en-US"/>
              </w:rPr>
              <w:t>Citation:</w:t>
            </w:r>
            <w:commentRangeEnd w:id="16"/>
            <w:r w:rsidRPr="004825BB">
              <w:rPr>
                <w:rStyle w:val="Refdecomentario"/>
                <w:rFonts w:cs="Times New Roman"/>
                <w:color w:val="000000"/>
                <w:kern w:val="0"/>
                <w:lang w:val="en-US"/>
                <w14:ligatures w14:val="none"/>
              </w:rPr>
              <w:commentReference w:id="16"/>
            </w:r>
            <w:commentRangeEnd w:id="17"/>
            <w:r w:rsidR="00455C91">
              <w:rPr>
                <w:rStyle w:val="Refdecomentario"/>
                <w:rFonts w:cs="Times New Roman"/>
                <w:color w:val="000000"/>
                <w:kern w:val="0"/>
                <w:lang w:val="en-US" w:eastAsia="zh-CN"/>
                <w14:ligatures w14:val="none"/>
              </w:rPr>
              <w:commentReference w:id="17"/>
            </w:r>
            <w:r w:rsidRPr="004825BB">
              <w:rPr>
                <w:lang w:val="en-US"/>
              </w:rPr>
              <w:t xml:space="preserve"> Sanabria, M.R.; </w:t>
            </w:r>
            <w:r>
              <w:rPr>
                <w:lang w:val="en-US"/>
              </w:rPr>
              <w:br/>
            </w:r>
            <w:r w:rsidRPr="004825BB">
              <w:rPr>
                <w:lang w:val="en-US"/>
              </w:rPr>
              <w:t>Calles-</w:t>
            </w:r>
            <w:proofErr w:type="spellStart"/>
            <w:r w:rsidRPr="004825BB">
              <w:rPr>
                <w:lang w:val="en-US"/>
              </w:rPr>
              <w:t>Monar</w:t>
            </w:r>
            <w:proofErr w:type="spellEnd"/>
            <w:r w:rsidRPr="004825BB">
              <w:rPr>
                <w:lang w:val="en-US"/>
              </w:rPr>
              <w:t xml:space="preserve">, P.S.; </w:t>
            </w:r>
            <w:r>
              <w:rPr>
                <w:lang w:val="en-US"/>
              </w:rPr>
              <w:br/>
            </w:r>
            <w:r w:rsidRPr="004825BB">
              <w:rPr>
                <w:lang w:val="en-US"/>
              </w:rPr>
              <w:t>Alonso-</w:t>
            </w:r>
            <w:proofErr w:type="spellStart"/>
            <w:r w:rsidRPr="004825BB">
              <w:rPr>
                <w:lang w:val="en-US"/>
              </w:rPr>
              <w:t>Tarancón</w:t>
            </w:r>
            <w:proofErr w:type="spellEnd"/>
            <w:r w:rsidRPr="004825BB">
              <w:rPr>
                <w:lang w:val="en-US"/>
              </w:rPr>
              <w:t xml:space="preserve">, A.M.; </w:t>
            </w:r>
            <w:r>
              <w:rPr>
                <w:lang w:val="en-US"/>
              </w:rPr>
              <w:br/>
            </w:r>
            <w:r w:rsidRPr="004825BB">
              <w:rPr>
                <w:lang w:val="en-US"/>
              </w:rPr>
              <w:t>Coco-Martín, R.M.; Mayo-</w:t>
            </w:r>
            <w:proofErr w:type="spellStart"/>
            <w:r w:rsidRPr="004825BB">
              <w:rPr>
                <w:lang w:val="en-US"/>
              </w:rPr>
              <w:t>Iscar</w:t>
            </w:r>
            <w:proofErr w:type="spellEnd"/>
            <w:r w:rsidRPr="004825BB">
              <w:rPr>
                <w:lang w:val="en-US"/>
              </w:rPr>
              <w:t xml:space="preserve">, A. Impact of COVID-19 Confinement on Quality of Life of Patients </w:t>
            </w:r>
            <w:r w:rsidR="00E40764">
              <w:rPr>
                <w:lang w:val="en-US"/>
              </w:rPr>
              <w:br/>
            </w:r>
            <w:r w:rsidRPr="004825BB">
              <w:rPr>
                <w:lang w:val="en-US"/>
              </w:rPr>
              <w:t xml:space="preserve">with Age-Related Macular Degeneration: A Two-Wave Panel Study. </w:t>
            </w:r>
            <w:r w:rsidRPr="004825BB">
              <w:rPr>
                <w:i/>
                <w:lang w:val="en-US"/>
              </w:rPr>
              <w:t xml:space="preserve">J. Clin. Med. </w:t>
            </w:r>
            <w:r w:rsidRPr="004825BB">
              <w:rPr>
                <w:b/>
                <w:lang w:val="en-US"/>
              </w:rPr>
              <w:t>2023</w:t>
            </w:r>
            <w:r w:rsidRPr="004825BB">
              <w:rPr>
                <w:lang w:val="en-US"/>
              </w:rPr>
              <w:t xml:space="preserve">, </w:t>
            </w:r>
            <w:r w:rsidRPr="004825BB">
              <w:rPr>
                <w:i/>
                <w:lang w:val="en-US"/>
              </w:rPr>
              <w:t>12</w:t>
            </w:r>
            <w:r w:rsidRPr="004825BB">
              <w:rPr>
                <w:lang w:val="en-US"/>
              </w:rPr>
              <w:t>, x. https://doi.org/10.3390/xxxxx</w:t>
            </w:r>
          </w:p>
          <w:p w14:paraId="639520A6" w14:textId="77777777" w:rsidR="00672FA2" w:rsidRPr="004825BB" w:rsidRDefault="00672FA2" w:rsidP="00672FA2">
            <w:pPr>
              <w:pStyle w:val="MDPI15academiceditor"/>
              <w:spacing w:after="120"/>
              <w:rPr>
                <w:lang w:val="en-US"/>
              </w:rPr>
            </w:pPr>
            <w:r w:rsidRPr="00A44C61">
              <w:rPr>
                <w:lang w:val="en-US"/>
              </w:rPr>
              <w:t>Academic Editors: Shigeru Honda</w:t>
            </w:r>
          </w:p>
          <w:p w14:paraId="6B1264C8" w14:textId="77777777" w:rsidR="00672FA2" w:rsidRPr="004825BB" w:rsidRDefault="00672FA2" w:rsidP="00672FA2">
            <w:pPr>
              <w:pStyle w:val="MDPI14history"/>
              <w:rPr>
                <w:lang w:val="en-US"/>
              </w:rPr>
            </w:pPr>
            <w:r w:rsidRPr="004825BB">
              <w:rPr>
                <w:lang w:val="en-US"/>
              </w:rPr>
              <w:t>Received: 3 February 2023</w:t>
            </w:r>
          </w:p>
          <w:p w14:paraId="3BB13CC0" w14:textId="77777777" w:rsidR="00672FA2" w:rsidRPr="004825BB" w:rsidRDefault="00672FA2" w:rsidP="00672FA2">
            <w:pPr>
              <w:pStyle w:val="MDPI14history"/>
              <w:rPr>
                <w:lang w:val="en-US"/>
              </w:rPr>
            </w:pPr>
            <w:r w:rsidRPr="004825BB">
              <w:rPr>
                <w:lang w:val="en-US"/>
              </w:rPr>
              <w:t>Revised: 10 March 2023</w:t>
            </w:r>
          </w:p>
          <w:p w14:paraId="19746167" w14:textId="77777777" w:rsidR="00672FA2" w:rsidRPr="004825BB" w:rsidRDefault="00672FA2" w:rsidP="00672FA2">
            <w:pPr>
              <w:pStyle w:val="MDPI14history"/>
              <w:rPr>
                <w:lang w:val="en-US"/>
              </w:rPr>
            </w:pPr>
            <w:r w:rsidRPr="004825BB">
              <w:rPr>
                <w:lang w:val="en-US"/>
              </w:rPr>
              <w:t>Accepted: 17 March 2023</w:t>
            </w:r>
          </w:p>
          <w:p w14:paraId="20C9631E" w14:textId="77777777" w:rsidR="00672FA2" w:rsidRPr="004825BB" w:rsidRDefault="00672FA2" w:rsidP="00672FA2">
            <w:pPr>
              <w:pStyle w:val="MDPI14history"/>
              <w:spacing w:after="120"/>
              <w:rPr>
                <w:lang w:val="en-US"/>
              </w:rPr>
            </w:pPr>
            <w:r w:rsidRPr="004825BB">
              <w:rPr>
                <w:lang w:val="en-US"/>
              </w:rPr>
              <w:t>Published: date</w:t>
            </w:r>
          </w:p>
          <w:p w14:paraId="68EC404D" w14:textId="77777777" w:rsidR="00672FA2" w:rsidRPr="004825BB" w:rsidRDefault="00672FA2" w:rsidP="00672FA2">
            <w:pPr>
              <w:pStyle w:val="MDPI14history"/>
              <w:spacing w:before="120"/>
              <w:rPr>
                <w:lang w:val="en-US"/>
              </w:rPr>
            </w:pPr>
            <w:r w:rsidRPr="004825BB">
              <w:rPr>
                <w:noProof/>
                <w:lang w:val="es-ES_tradnl" w:eastAsia="es-ES_tradnl" w:bidi="ar-SA"/>
                <w14:ligatures w14:val="none"/>
              </w:rPr>
              <w:drawing>
                <wp:inline distT="0" distB="0" distL="0" distR="0" wp14:anchorId="0B8E96BB" wp14:editId="783934A2">
                  <wp:extent cx="694800" cy="248400"/>
                  <wp:effectExtent l="0" t="0" r="0" b="0"/>
                  <wp:docPr id="2" name="Picture 2"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1"/>
                          <a:stretch>
                            <a:fillRect/>
                          </a:stretch>
                        </pic:blipFill>
                        <pic:spPr>
                          <a:xfrm>
                            <a:off x="0" y="0"/>
                            <a:ext cx="694800" cy="248400"/>
                          </a:xfrm>
                          <a:prstGeom prst="rect">
                            <a:avLst/>
                          </a:prstGeom>
                        </pic:spPr>
                      </pic:pic>
                    </a:graphicData>
                  </a:graphic>
                </wp:inline>
              </w:drawing>
            </w:r>
          </w:p>
          <w:p w14:paraId="4A6BB1F9" w14:textId="77777777" w:rsidR="00672FA2" w:rsidRPr="004825BB" w:rsidRDefault="00672FA2" w:rsidP="00672FA2">
            <w:pPr>
              <w:pStyle w:val="MDPI72Copyright"/>
              <w:rPr>
                <w:noProof w:val="0"/>
                <w:lang w:val="en-US"/>
              </w:rPr>
            </w:pPr>
            <w:r w:rsidRPr="004825BB">
              <w:rPr>
                <w:b/>
                <w:noProof w:val="0"/>
                <w:lang w:val="en-US"/>
              </w:rPr>
              <w:t>Copyright:</w:t>
            </w:r>
            <w:r w:rsidRPr="004825BB">
              <w:rPr>
                <w:noProof w:val="0"/>
                <w:lang w:val="en-US"/>
              </w:rPr>
              <w:t xml:space="preserve"> © 2023 by the authors. Submitted for possible open access publication under the terms and conditions of the Creative Commons Attribution (CC BY) license (https://creativecommons.org/licenses/by/4.0/).</w:t>
            </w:r>
          </w:p>
        </w:tc>
      </w:tr>
    </w:tbl>
    <w:p w14:paraId="6E74E885" w14:textId="77777777" w:rsidR="00FB785E" w:rsidRPr="004825BB" w:rsidRDefault="00FB785E" w:rsidP="0070052A">
      <w:pPr>
        <w:pStyle w:val="MDPI17abstract"/>
      </w:pPr>
      <w:r w:rsidRPr="004825BB">
        <w:rPr>
          <w:b/>
        </w:rPr>
        <w:t xml:space="preserve">Abstract: </w:t>
      </w:r>
      <w:r w:rsidRPr="004825BB">
        <w:t>Age-related macular degeneration (AMD) is the leading cause of blindness in developed countries. Intravitreal injections of antiangiogenic agents (anti-VEGF) can stop vision loss in the neovascular form of the disease (</w:t>
      </w:r>
      <w:proofErr w:type="spellStart"/>
      <w:r w:rsidRPr="004825BB">
        <w:t>nAMD</w:t>
      </w:r>
      <w:proofErr w:type="spellEnd"/>
      <w:r w:rsidRPr="004825BB">
        <w:t>). The aim of this study was to assess the general health-related quality of life (</w:t>
      </w:r>
      <w:proofErr w:type="spellStart"/>
      <w:r w:rsidRPr="004825BB">
        <w:t>HRQoL</w:t>
      </w:r>
      <w:proofErr w:type="spellEnd"/>
      <w:r w:rsidRPr="004825BB">
        <w:t xml:space="preserve">) in a cohort of patients with </w:t>
      </w:r>
      <w:proofErr w:type="spellStart"/>
      <w:r w:rsidRPr="004825BB">
        <w:t>nAMD</w:t>
      </w:r>
      <w:proofErr w:type="spellEnd"/>
      <w:r w:rsidRPr="004825BB">
        <w:t xml:space="preserve"> treated with intravitreal anti-VEGF injections and to determine to what extent their </w:t>
      </w:r>
      <w:proofErr w:type="spellStart"/>
      <w:r w:rsidRPr="004825BB">
        <w:t>HRQoL</w:t>
      </w:r>
      <w:proofErr w:type="spellEnd"/>
      <w:r w:rsidRPr="004825BB">
        <w:t xml:space="preserve"> </w:t>
      </w:r>
      <w:r w:rsidR="009138E9">
        <w:t>was</w:t>
      </w:r>
      <w:r w:rsidRPr="004825BB">
        <w:t xml:space="preserve"> affected by COVID-19. This was an observational, analytical, </w:t>
      </w:r>
      <w:r w:rsidR="00765DB7" w:rsidRPr="004825BB">
        <w:t xml:space="preserve">and </w:t>
      </w:r>
      <w:r w:rsidRPr="004825BB">
        <w:t xml:space="preserve">longitudinal study performed with a two-wave panel survey. Clinical outcomes, </w:t>
      </w:r>
      <w:proofErr w:type="spellStart"/>
      <w:r w:rsidRPr="004825BB">
        <w:t>HRQoL</w:t>
      </w:r>
      <w:proofErr w:type="spellEnd"/>
      <w:r w:rsidR="006469F5" w:rsidRPr="004825BB">
        <w:t>,</w:t>
      </w:r>
      <w:r w:rsidRPr="004825BB">
        <w:t xml:space="preserve"> and tangible support were evaluated. In the final survey, changes in living conditions and medical visits due to the COVID-19 pandemic were also examined. Of the 102 patients initially interviewed in the before-COVID survey, 24 were lost after 30 months of follow-up. In the initial assessment, the mean health index was 0.73 </w:t>
      </w:r>
      <w:r w:rsidR="00F07CEB" w:rsidRPr="004825BB">
        <w:t>±</w:t>
      </w:r>
      <w:r w:rsidRPr="004825BB">
        <w:t xml:space="preserve"> 0.2. The EQ VAS score worsened at the final survey (</w:t>
      </w:r>
      <w:r w:rsidR="004B3E58" w:rsidRPr="004825BB">
        <w:rPr>
          <w:i/>
        </w:rPr>
        <w:t xml:space="preserve">p </w:t>
      </w:r>
      <w:r w:rsidR="004B3E58" w:rsidRPr="004825BB">
        <w:t>=</w:t>
      </w:r>
      <w:r w:rsidR="004B3E58" w:rsidRPr="004825BB">
        <w:rPr>
          <w:i/>
        </w:rPr>
        <w:t xml:space="preserve"> </w:t>
      </w:r>
      <w:r w:rsidR="004B3E58" w:rsidRPr="004825BB">
        <w:t>0</w:t>
      </w:r>
      <w:r w:rsidRPr="004825BB">
        <w:t>.048). Patients needing treatment in both eyes (</w:t>
      </w:r>
      <w:r w:rsidR="004B3E58" w:rsidRPr="004825BB">
        <w:rPr>
          <w:i/>
        </w:rPr>
        <w:t xml:space="preserve">p </w:t>
      </w:r>
      <w:r w:rsidR="004B3E58" w:rsidRPr="004825BB">
        <w:t>=</w:t>
      </w:r>
      <w:r w:rsidR="004B3E58" w:rsidRPr="004825BB">
        <w:rPr>
          <w:i/>
        </w:rPr>
        <w:t xml:space="preserve"> </w:t>
      </w:r>
      <w:r w:rsidR="004B3E58" w:rsidRPr="004825BB">
        <w:t>0</w:t>
      </w:r>
      <w:r w:rsidRPr="004825BB">
        <w:t>.007) and with lower levels of bilateral visual acuity (</w:t>
      </w:r>
      <w:r w:rsidR="004B3E58" w:rsidRPr="004825BB">
        <w:rPr>
          <w:i/>
        </w:rPr>
        <w:t xml:space="preserve">p </w:t>
      </w:r>
      <w:r w:rsidR="004B3E58" w:rsidRPr="004825BB">
        <w:t>=</w:t>
      </w:r>
      <w:r w:rsidR="004B3E58" w:rsidRPr="004825BB">
        <w:rPr>
          <w:i/>
        </w:rPr>
        <w:t xml:space="preserve"> </w:t>
      </w:r>
      <w:r w:rsidR="004B3E58" w:rsidRPr="004825BB">
        <w:t>0</w:t>
      </w:r>
      <w:r w:rsidRPr="004825BB">
        <w:t xml:space="preserve">.018) reported an increase in social support at the final survey. In conclusion, patients perceived a worsening in </w:t>
      </w:r>
      <w:proofErr w:type="spellStart"/>
      <w:r w:rsidRPr="004825BB">
        <w:t>HRQoL</w:t>
      </w:r>
      <w:proofErr w:type="spellEnd"/>
      <w:r w:rsidRPr="004825BB">
        <w:t xml:space="preserve"> after confinement. However, patients enjoyed good social support that improved in the after-COVID survey.</w:t>
      </w:r>
    </w:p>
    <w:p w14:paraId="160924FD" w14:textId="77777777" w:rsidR="00FB785E" w:rsidRPr="004825BB" w:rsidRDefault="00E23E78" w:rsidP="00E23E78">
      <w:pPr>
        <w:pStyle w:val="MDPI18keywords"/>
      </w:pPr>
      <w:r w:rsidRPr="004825BB">
        <w:rPr>
          <w:b/>
        </w:rPr>
        <w:t>Keywords:</w:t>
      </w:r>
      <w:r w:rsidR="00FB785E" w:rsidRPr="004825BB">
        <w:rPr>
          <w:b/>
        </w:rPr>
        <w:t xml:space="preserve"> </w:t>
      </w:r>
      <w:r w:rsidR="00BC348E" w:rsidRPr="004825BB">
        <w:t>health</w:t>
      </w:r>
      <w:r w:rsidR="00FB785E" w:rsidRPr="004825BB">
        <w:t xml:space="preserve">-related quality of life; </w:t>
      </w:r>
      <w:r w:rsidR="00BC348E" w:rsidRPr="004825BB">
        <w:t xml:space="preserve">social </w:t>
      </w:r>
      <w:r w:rsidR="00FB785E" w:rsidRPr="004825BB">
        <w:t xml:space="preserve">support; </w:t>
      </w:r>
      <w:r w:rsidR="00BC348E" w:rsidRPr="004825BB">
        <w:t xml:space="preserve">surveys </w:t>
      </w:r>
      <w:r w:rsidR="00FB785E" w:rsidRPr="004825BB">
        <w:t xml:space="preserve">and questionnaires; </w:t>
      </w:r>
      <w:r w:rsidR="00BC348E" w:rsidRPr="004825BB">
        <w:t>age</w:t>
      </w:r>
      <w:r w:rsidR="00FB785E" w:rsidRPr="004825BB">
        <w:t>-related macular degeneration</w:t>
      </w:r>
      <w:commentRangeStart w:id="18"/>
      <w:commentRangeStart w:id="19"/>
      <w:commentRangeStart w:id="20"/>
      <w:r w:rsidRPr="004825BB">
        <w:rPr>
          <w:highlight w:val="yellow"/>
        </w:rPr>
        <w:t>;</w:t>
      </w:r>
      <w:commentRangeEnd w:id="18"/>
      <w:r w:rsidR="002A6EBF" w:rsidRPr="004825BB">
        <w:rPr>
          <w:rStyle w:val="Refdecomentario"/>
          <w:rFonts w:eastAsia="SimSun"/>
          <w:snapToGrid/>
          <w:kern w:val="0"/>
          <w:lang w:eastAsia="zh-CN" w:bidi="ar-SA"/>
          <w14:ligatures w14:val="none"/>
        </w:rPr>
        <w:commentReference w:id="18"/>
      </w:r>
      <w:commentRangeEnd w:id="19"/>
      <w:commentRangeEnd w:id="20"/>
      <w:r w:rsidR="00455C91">
        <w:rPr>
          <w:rStyle w:val="Refdecomentario"/>
          <w:rFonts w:eastAsia="SimSun"/>
          <w:snapToGrid/>
          <w:kern w:val="0"/>
          <w:lang w:eastAsia="zh-CN" w:bidi="ar-SA"/>
          <w14:ligatures w14:val="none"/>
        </w:rPr>
        <w:commentReference w:id="20"/>
      </w:r>
      <w:r w:rsidR="00C35921">
        <w:rPr>
          <w:rStyle w:val="Refdecomentario"/>
          <w:rFonts w:eastAsia="SimSun"/>
          <w:snapToGrid/>
          <w:kern w:val="0"/>
          <w:lang w:eastAsia="zh-CN" w:bidi="ar-SA"/>
          <w14:ligatures w14:val="none"/>
        </w:rPr>
        <w:commentReference w:id="19"/>
      </w:r>
      <w:r w:rsidRPr="004825BB">
        <w:t xml:space="preserve"> </w:t>
      </w:r>
      <w:r w:rsidR="00FB785E" w:rsidRPr="004825BB">
        <w:t>neovascular; COVID-19</w:t>
      </w:r>
    </w:p>
    <w:p w14:paraId="77DCBC53" w14:textId="77777777" w:rsidR="00FB785E" w:rsidRPr="004825BB" w:rsidRDefault="00FB785E" w:rsidP="00E23E78">
      <w:pPr>
        <w:pStyle w:val="MDPI19line"/>
        <w:pBdr>
          <w:bottom w:val="single" w:sz="4" w:space="1" w:color="000000"/>
        </w:pBdr>
      </w:pPr>
    </w:p>
    <w:p w14:paraId="6A31A1C1" w14:textId="77777777" w:rsidR="00FB785E" w:rsidRPr="004825BB" w:rsidRDefault="00E23E78" w:rsidP="00E23E78">
      <w:pPr>
        <w:pStyle w:val="MDPI21heading1"/>
      </w:pPr>
      <w:r w:rsidRPr="004825BB">
        <w:t xml:space="preserve">1. </w:t>
      </w:r>
      <w:r w:rsidR="00FB785E" w:rsidRPr="004825BB">
        <w:t>Introduction</w:t>
      </w:r>
    </w:p>
    <w:p w14:paraId="0D174EA5" w14:textId="77777777" w:rsidR="00FB785E" w:rsidRPr="004825BB" w:rsidRDefault="00FB785E" w:rsidP="00E23E78">
      <w:pPr>
        <w:pStyle w:val="MDPI31text"/>
      </w:pPr>
      <w:r w:rsidRPr="004825BB">
        <w:t>Age-related macular degeneration (AMD) is the leading cause of blindness in developed countries, and its prevalence increases with age, reaching 7.1% of people older than 75 years</w:t>
      </w:r>
      <w:bookmarkStart w:id="21" w:name="_Ref85343881"/>
      <w:r w:rsidRPr="004825BB">
        <w:t xml:space="preserve"> [1]</w:t>
      </w:r>
      <w:bookmarkEnd w:id="21"/>
      <w:r w:rsidRPr="004825BB">
        <w:t>. The neovascular form of the disease progresses quickly, but treatment with intravitreal injections of antiangiogenic agents (anti-VEGF) can stop vision loss [2]. The introduction of anti-VEGF treatment since 2004 has led to a decrease in visual impairment due to neovascular AMD (</w:t>
      </w:r>
      <w:proofErr w:type="spellStart"/>
      <w:r w:rsidRPr="004825BB">
        <w:t>nAMD</w:t>
      </w:r>
      <w:proofErr w:type="spellEnd"/>
      <w:r w:rsidRPr="004825BB">
        <w:t>), also preventing the deterioration of health-related quality of life (</w:t>
      </w:r>
      <w:proofErr w:type="spellStart"/>
      <w:r w:rsidRPr="004825BB">
        <w:t>HRQoL</w:t>
      </w:r>
      <w:proofErr w:type="spellEnd"/>
      <w:r w:rsidRPr="004825BB">
        <w:t xml:space="preserve">) to which patients with </w:t>
      </w:r>
      <w:proofErr w:type="spellStart"/>
      <w:r w:rsidRPr="004825BB">
        <w:t>nAMD</w:t>
      </w:r>
      <w:proofErr w:type="spellEnd"/>
      <w:r w:rsidRPr="004825BB">
        <w:t xml:space="preserve"> were doomed before this treatment</w:t>
      </w:r>
      <w:bookmarkStart w:id="22" w:name="_Ref85344312"/>
      <w:r w:rsidRPr="004825BB">
        <w:t xml:space="preserve"> [3]</w:t>
      </w:r>
      <w:bookmarkEnd w:id="22"/>
      <w:r w:rsidRPr="004825BB">
        <w:t>. The prevalence of blindness due to AMD has declined by almost 30% in recent decades [4]. Current intravitreal anti-VEGF therapies require repeated administrations, and optimal results are obtained with monthly or bimonthly injections that must be applied in a theate</w:t>
      </w:r>
      <w:r w:rsidR="004825BB">
        <w:t>r</w:t>
      </w:r>
      <w:r w:rsidRPr="004825BB">
        <w:t xml:space="preserve"> or in a clean room in the outpatient setting, which </w:t>
      </w:r>
      <w:r w:rsidRPr="004825BB">
        <w:lastRenderedPageBreak/>
        <w:t xml:space="preserve">involves frequent trips to the clinic [5]. In this sense, the treatment poses a marked inconvenience for the patient and their caregivers, which can in certain ways affect the patient’s </w:t>
      </w:r>
      <w:proofErr w:type="spellStart"/>
      <w:r w:rsidRPr="004825BB">
        <w:t>HRQoL</w:t>
      </w:r>
      <w:proofErr w:type="spellEnd"/>
      <w:r w:rsidRPr="004825BB">
        <w:t>.</w:t>
      </w:r>
    </w:p>
    <w:p w14:paraId="5230C823" w14:textId="77777777" w:rsidR="00FB785E" w:rsidRPr="004825BB" w:rsidRDefault="00FB785E" w:rsidP="00E23E78">
      <w:pPr>
        <w:pStyle w:val="MDPI31text"/>
      </w:pPr>
      <w:r w:rsidRPr="004825BB">
        <w:t>Quality of life (QoL) is a subjective measure that is influenced by various factors, such as expectations, relationships, routines, health</w:t>
      </w:r>
      <w:r w:rsidR="00CA11B0">
        <w:t>,</w:t>
      </w:r>
      <w:r w:rsidRPr="004825BB">
        <w:t xml:space="preserve"> and disability [6]. Self-reported </w:t>
      </w:r>
      <w:proofErr w:type="spellStart"/>
      <w:r w:rsidRPr="004825BB">
        <w:t>HRQoL</w:t>
      </w:r>
      <w:proofErr w:type="spellEnd"/>
      <w:r w:rsidRPr="004825BB">
        <w:t xml:space="preserve"> assessments provide a comprehensive reflection of the disease impact and guide physicians in the proper care of patients. Since the advent of anti-VEGF treatments, several studies have addressed the relationship between vision-related QoL in </w:t>
      </w:r>
      <w:proofErr w:type="spellStart"/>
      <w:r w:rsidRPr="004825BB">
        <w:t>nAMD</w:t>
      </w:r>
      <w:proofErr w:type="spellEnd"/>
      <w:r w:rsidRPr="004825BB">
        <w:t xml:space="preserve"> patients treated with anti-VEGF </w:t>
      </w:r>
      <w:r w:rsidR="00D40256" w:rsidRPr="004825BB">
        <w:t>[3</w:t>
      </w:r>
      <w:commentRangeStart w:id="23"/>
      <w:r w:rsidR="00D40256" w:rsidRPr="004825BB">
        <w:t>,</w:t>
      </w:r>
      <w:r w:rsidR="00943496">
        <w:t>5</w:t>
      </w:r>
      <w:commentRangeEnd w:id="23"/>
      <w:r w:rsidR="00943496">
        <w:rPr>
          <w:rStyle w:val="Refdecomentario"/>
          <w:rFonts w:eastAsia="SimSun"/>
          <w:snapToGrid/>
          <w:kern w:val="0"/>
          <w:lang w:eastAsia="zh-CN" w:bidi="ar-SA"/>
          <w14:ligatures w14:val="none"/>
        </w:rPr>
        <w:commentReference w:id="23"/>
      </w:r>
      <w:r w:rsidRPr="004825BB">
        <w:t xml:space="preserve">]. Nevertheless, the measure of vision-related QoL might not reflect the global general health range as nonspecific </w:t>
      </w:r>
      <w:proofErr w:type="spellStart"/>
      <w:r w:rsidRPr="004825BB">
        <w:t>HRQoL</w:t>
      </w:r>
      <w:proofErr w:type="spellEnd"/>
      <w:r w:rsidRPr="004825BB">
        <w:t xml:space="preserve"> instruments do [3].</w:t>
      </w:r>
    </w:p>
    <w:p w14:paraId="347AC965" w14:textId="77777777" w:rsidR="00FB785E" w:rsidRPr="004825BB" w:rsidRDefault="00FB785E" w:rsidP="00E23E78">
      <w:pPr>
        <w:pStyle w:val="MDPI31text"/>
      </w:pPr>
      <w:r w:rsidRPr="004825BB">
        <w:t xml:space="preserve">Severe acute respiratory syndrome coronavirus 2 (SARS-CoV-2) has spread around the world since December 2019, and the World Health Organization (WHO) declared the COVID-19 pandemic on </w:t>
      </w:r>
      <w:r w:rsidR="00391CDD" w:rsidRPr="004825BB">
        <w:t xml:space="preserve">11 </w:t>
      </w:r>
      <w:r w:rsidRPr="004825BB">
        <w:t>March 2020 [7].</w:t>
      </w:r>
      <w:r w:rsidR="004C3117" w:rsidRPr="004C3117">
        <w:t xml:space="preserve"> </w:t>
      </w:r>
      <w:r w:rsidRPr="004825BB">
        <w:t xml:space="preserve">The government of Spain declared a state of alarm with a nationwide lockdown on March 14, and strict confinement measures lasted until June 2020 </w:t>
      </w:r>
      <w:r w:rsidR="00D40256" w:rsidRPr="004825BB">
        <w:t>[8,9</w:t>
      </w:r>
      <w:r w:rsidRPr="004825BB">
        <w:t xml:space="preserve">]. From this date on, progressive and slow relaxation of confinement measures was established. Although the COVID-19 pandemic affects the whole population globally, elderly patients, such as those affected by AMD, suffer worse outcomes with SARS-CoV-2 infection [10]. Confinement increased psychological discomfort </w:t>
      </w:r>
      <w:r w:rsidR="0006399C">
        <w:t xml:space="preserve">and </w:t>
      </w:r>
      <w:r w:rsidRPr="004825BB">
        <w:t xml:space="preserve">feelings of uncertainty and concern about suffering or contracting a serious illness, especially in older people [11]. Although most scientific ophthalmological societies recommended maintaining the administration of intravitreal injections in patients with </w:t>
      </w:r>
      <w:proofErr w:type="spellStart"/>
      <w:r w:rsidRPr="004825BB">
        <w:t>nAMD</w:t>
      </w:r>
      <w:proofErr w:type="spellEnd"/>
      <w:r w:rsidRPr="004825BB">
        <w:t xml:space="preserve"> during confinement </w:t>
      </w:r>
      <w:r w:rsidR="00D40256" w:rsidRPr="004825BB">
        <w:t>[12,13</w:t>
      </w:r>
      <w:r w:rsidRPr="004825BB">
        <w:t>], some patients interrupted the therapy by choice out of fear of SARS-CoV-2 or because it was impossible to reach the hospital [14]. In these ways, the pandemic has added concern to previously distressed patients [10].</w:t>
      </w:r>
    </w:p>
    <w:p w14:paraId="658D09FF" w14:textId="77777777" w:rsidR="00FB785E" w:rsidRPr="004825BB" w:rsidRDefault="00FB785E" w:rsidP="00E23E78">
      <w:pPr>
        <w:pStyle w:val="MDPI31text"/>
      </w:pPr>
      <w:r w:rsidRPr="004825BB">
        <w:t xml:space="preserve">Therefore, the aim of this study was to evaluate the general </w:t>
      </w:r>
      <w:proofErr w:type="spellStart"/>
      <w:r w:rsidRPr="004825BB">
        <w:t>HRQoL</w:t>
      </w:r>
      <w:proofErr w:type="spellEnd"/>
      <w:r w:rsidRPr="004825BB">
        <w:t xml:space="preserve"> in a cohort of </w:t>
      </w:r>
      <w:proofErr w:type="spellStart"/>
      <w:r w:rsidRPr="004825BB">
        <w:t>nAMD</w:t>
      </w:r>
      <w:proofErr w:type="spellEnd"/>
      <w:r w:rsidRPr="004825BB">
        <w:t xml:space="preserve"> patients treated with intravitreal anti-VEGF injections and to determine to what extent their QoL has been affected by the COVID-19 pandemic.</w:t>
      </w:r>
    </w:p>
    <w:p w14:paraId="6EC56176" w14:textId="77777777" w:rsidR="00FB785E" w:rsidRPr="004825BB" w:rsidRDefault="00E23E78" w:rsidP="00E23E78">
      <w:pPr>
        <w:pStyle w:val="MDPI21heading1"/>
      </w:pPr>
      <w:r w:rsidRPr="00A44C61">
        <w:rPr>
          <w:highlight w:val="yellow"/>
          <w:lang w:eastAsia="zh-CN"/>
        </w:rPr>
        <w:t xml:space="preserve">2. </w:t>
      </w:r>
      <w:commentRangeStart w:id="24"/>
      <w:commentRangeStart w:id="25"/>
      <w:commentRangeStart w:id="26"/>
      <w:r w:rsidR="00FB785E" w:rsidRPr="00A44C61">
        <w:rPr>
          <w:highlight w:val="yellow"/>
        </w:rPr>
        <w:t>Materials and Methods</w:t>
      </w:r>
      <w:commentRangeEnd w:id="24"/>
      <w:r w:rsidR="00A44C61">
        <w:rPr>
          <w:rStyle w:val="Refdecomentario"/>
          <w:rFonts w:eastAsia="SimSun"/>
          <w:b w:val="0"/>
          <w:noProof/>
          <w:snapToGrid/>
          <w:kern w:val="0"/>
          <w:lang w:eastAsia="zh-CN" w:bidi="ar-SA"/>
          <w14:ligatures w14:val="none"/>
        </w:rPr>
        <w:commentReference w:id="24"/>
      </w:r>
      <w:commentRangeEnd w:id="25"/>
      <w:commentRangeEnd w:id="26"/>
      <w:r w:rsidR="00455C91">
        <w:rPr>
          <w:rStyle w:val="Refdecomentario"/>
          <w:rFonts w:eastAsia="SimSun"/>
          <w:b w:val="0"/>
          <w:snapToGrid/>
          <w:kern w:val="0"/>
          <w:lang w:eastAsia="zh-CN" w:bidi="ar-SA"/>
          <w14:ligatures w14:val="none"/>
        </w:rPr>
        <w:commentReference w:id="26"/>
      </w:r>
      <w:r w:rsidR="00C73519">
        <w:rPr>
          <w:rStyle w:val="Refdecomentario"/>
          <w:rFonts w:eastAsia="SimSun"/>
          <w:b w:val="0"/>
          <w:snapToGrid/>
          <w:kern w:val="0"/>
          <w:lang w:eastAsia="zh-CN" w:bidi="ar-SA"/>
          <w14:ligatures w14:val="none"/>
        </w:rPr>
        <w:commentReference w:id="25"/>
      </w:r>
    </w:p>
    <w:p w14:paraId="2538E64D" w14:textId="77777777" w:rsidR="00FB785E" w:rsidRPr="004825BB" w:rsidRDefault="00FB785E" w:rsidP="00E23E78">
      <w:pPr>
        <w:pStyle w:val="MDPI31text"/>
      </w:pPr>
      <w:r w:rsidRPr="004825BB">
        <w:t xml:space="preserve">This was an observational, analytical, </w:t>
      </w:r>
      <w:r w:rsidR="00556A64">
        <w:t xml:space="preserve">and </w:t>
      </w:r>
      <w:r w:rsidRPr="004825BB">
        <w:t xml:space="preserve">longitudinal panel study. The Medical Ethical Committees of </w:t>
      </w:r>
      <w:proofErr w:type="spellStart"/>
      <w:r w:rsidRPr="004825BB">
        <w:t>Complejo</w:t>
      </w:r>
      <w:proofErr w:type="spellEnd"/>
      <w:r w:rsidRPr="004825BB">
        <w:t xml:space="preserve"> </w:t>
      </w:r>
      <w:proofErr w:type="spellStart"/>
      <w:r w:rsidRPr="004825BB">
        <w:t>Asistencial</w:t>
      </w:r>
      <w:proofErr w:type="spellEnd"/>
      <w:r w:rsidRPr="004825BB">
        <w:t xml:space="preserve"> Universitario de Palencia (CAUPA) approved the design of the study according to Spanish laws and the Declaration of Helsinki </w:t>
      </w:r>
      <w:r w:rsidR="00F17E32">
        <w:t>including</w:t>
      </w:r>
      <w:r w:rsidRPr="004825BB">
        <w:t xml:space="preserve"> its subsequent amendments.</w:t>
      </w:r>
    </w:p>
    <w:p w14:paraId="12E7EA52" w14:textId="77777777" w:rsidR="00FB785E" w:rsidRPr="004825BB" w:rsidRDefault="005F65C2" w:rsidP="00E23E78">
      <w:pPr>
        <w:pStyle w:val="MDPI22heading2"/>
        <w:spacing w:before="240"/>
        <w:rPr>
          <w:noProof w:val="0"/>
        </w:rPr>
      </w:pPr>
      <w:commentRangeStart w:id="27"/>
      <w:commentRangeStart w:id="28"/>
      <w:r w:rsidRPr="004825BB">
        <w:rPr>
          <w:noProof w:val="0"/>
          <w:highlight w:val="yellow"/>
        </w:rPr>
        <w:t xml:space="preserve">2.1. </w:t>
      </w:r>
      <w:commentRangeEnd w:id="27"/>
      <w:r w:rsidRPr="004825BB">
        <w:rPr>
          <w:rStyle w:val="Refdecomentario"/>
          <w:rFonts w:eastAsia="SimSun"/>
          <w:i w:val="0"/>
          <w:noProof w:val="0"/>
          <w:snapToGrid/>
          <w:kern w:val="0"/>
          <w:lang w:eastAsia="zh-CN" w:bidi="ar-SA"/>
          <w14:ligatures w14:val="none"/>
        </w:rPr>
        <w:commentReference w:id="27"/>
      </w:r>
      <w:commentRangeEnd w:id="28"/>
      <w:r w:rsidR="00805102">
        <w:rPr>
          <w:rStyle w:val="Refdecomentario"/>
          <w:rFonts w:eastAsia="SimSun"/>
          <w:i w:val="0"/>
          <w:noProof w:val="0"/>
          <w:snapToGrid/>
          <w:kern w:val="0"/>
          <w:lang w:eastAsia="zh-CN" w:bidi="ar-SA"/>
          <w14:ligatures w14:val="none"/>
        </w:rPr>
        <w:commentReference w:id="28"/>
      </w:r>
      <w:r w:rsidR="00FB785E" w:rsidRPr="004825BB">
        <w:rPr>
          <w:noProof w:val="0"/>
        </w:rPr>
        <w:t>Setting</w:t>
      </w:r>
    </w:p>
    <w:p w14:paraId="6615172A" w14:textId="77777777" w:rsidR="00FB785E" w:rsidRPr="004825BB" w:rsidRDefault="00FB785E" w:rsidP="00E23E78">
      <w:pPr>
        <w:pStyle w:val="MDPI31text"/>
      </w:pPr>
      <w:r w:rsidRPr="004825BB">
        <w:t>This study was carried out at CAUPA. This secondary</w:t>
      </w:r>
      <w:r w:rsidR="00D01E9F">
        <w:t>-</w:t>
      </w:r>
      <w:r w:rsidRPr="004825BB">
        <w:t>care hospital has certain tertiary care services that belong to the universal national health system and provides free healthcare to residents in Palencia Province (161.321 inhabitants) with a wide geographical dispersion [15]. The percentage of inhabitants aged 65 and over in Palencia represents a quarter of the population of the province (25.99%) [16]. In 2019, more than 3500 intravitreal injections were administered in the ophthalmology service of CAUPA.</w:t>
      </w:r>
    </w:p>
    <w:p w14:paraId="52269C1F" w14:textId="77777777" w:rsidR="00FB785E" w:rsidRPr="004825BB" w:rsidRDefault="00FB785E" w:rsidP="00E23E78">
      <w:pPr>
        <w:pStyle w:val="MDPI31text"/>
      </w:pPr>
      <w:r w:rsidRPr="004825BB">
        <w:t xml:space="preserve">The present study consisted of a two-wave panel survey. For the initial survey, consecutive sampling was carried out from 1 November 2018 to 30 November 2018. The interview was personal, and the patients were informed about the purpose of the study and signed an informed consent form. Thirty months after the initial survey, in March 2021, the previously recruited patients in 2018 were contacted by phone, and the questionnaires were repeated, adding some questions related to changes in intravitreal treatment during the home confinement and </w:t>
      </w:r>
      <w:proofErr w:type="spellStart"/>
      <w:r w:rsidRPr="004825BB">
        <w:t>postconfinement</w:t>
      </w:r>
      <w:proofErr w:type="spellEnd"/>
      <w:r w:rsidRPr="004825BB">
        <w:t xml:space="preserve"> periods. Two weeks before the telephone interview, a letter was sent to the patients announcing the upcoming call and reminding them of their voluntary participation in the survey. Clinical data related to this second survey were retrieved from the clinical files of each patient corresponding to the last visit closest to the data of the phone interview. In February 2021, the third wave </w:t>
      </w:r>
      <w:r w:rsidRPr="004825BB">
        <w:lastRenderedPageBreak/>
        <w:t>of COVID-19 was especially aggressive in Palencia Province, shooting up to a cumulative incidence of more than 1000 positive cases per 100,000 inhabitants in one week [17].</w:t>
      </w:r>
    </w:p>
    <w:p w14:paraId="2E402063" w14:textId="77777777" w:rsidR="00FB785E" w:rsidRPr="004825BB" w:rsidRDefault="00E338ED" w:rsidP="00E23E78">
      <w:pPr>
        <w:pStyle w:val="MDPI22heading2"/>
        <w:spacing w:before="240"/>
        <w:rPr>
          <w:noProof w:val="0"/>
        </w:rPr>
      </w:pPr>
      <w:r w:rsidRPr="004825BB">
        <w:rPr>
          <w:noProof w:val="0"/>
          <w:highlight w:val="yellow"/>
        </w:rPr>
        <w:t>2.2.</w:t>
      </w:r>
      <w:r w:rsidRPr="004825BB">
        <w:rPr>
          <w:noProof w:val="0"/>
        </w:rPr>
        <w:t xml:space="preserve"> </w:t>
      </w:r>
      <w:r w:rsidR="00FB785E" w:rsidRPr="004825BB">
        <w:rPr>
          <w:noProof w:val="0"/>
        </w:rPr>
        <w:t xml:space="preserve">Inclusion and </w:t>
      </w:r>
      <w:r w:rsidRPr="004825BB">
        <w:rPr>
          <w:noProof w:val="0"/>
        </w:rPr>
        <w:t>Exclusion Criteri</w:t>
      </w:r>
      <w:r w:rsidR="00FB785E" w:rsidRPr="004825BB">
        <w:rPr>
          <w:noProof w:val="0"/>
        </w:rPr>
        <w:t>a</w:t>
      </w:r>
    </w:p>
    <w:p w14:paraId="6D27489C" w14:textId="77777777" w:rsidR="00FB785E" w:rsidRPr="004825BB" w:rsidRDefault="00FB785E" w:rsidP="00E23E78">
      <w:pPr>
        <w:pStyle w:val="MDPI31text"/>
        <w:rPr>
          <w:color w:val="auto"/>
        </w:rPr>
      </w:pPr>
      <w:r w:rsidRPr="004825BB">
        <w:t xml:space="preserve">Patients who had been diagnosed with </w:t>
      </w:r>
      <w:proofErr w:type="spellStart"/>
      <w:r w:rsidRPr="004825BB">
        <w:t>nAMD</w:t>
      </w:r>
      <w:proofErr w:type="spellEnd"/>
      <w:r w:rsidRPr="004825BB">
        <w:t xml:space="preserve"> under anti-VEGF treatment for at least 1 year at the first interview and attended the Ophthalmology Service of the </w:t>
      </w:r>
      <w:proofErr w:type="spellStart"/>
      <w:r w:rsidRPr="004825BB">
        <w:t>Complejo</w:t>
      </w:r>
      <w:proofErr w:type="spellEnd"/>
      <w:r w:rsidRPr="004825BB">
        <w:t xml:space="preserve"> </w:t>
      </w:r>
      <w:proofErr w:type="spellStart"/>
      <w:r w:rsidRPr="004825BB">
        <w:t>Asistencial</w:t>
      </w:r>
      <w:proofErr w:type="spellEnd"/>
      <w:r w:rsidRPr="004825BB">
        <w:t xml:space="preserve"> Universitario de Palencia (CAUPA) were included in the study</w:t>
      </w:r>
      <w:r w:rsidRPr="004825BB">
        <w:rPr>
          <w:color w:val="auto"/>
        </w:rPr>
        <w:t>. Patients with significant lens opacities, glaucoma, diabetic retinopathy</w:t>
      </w:r>
      <w:r w:rsidR="00E85CFE">
        <w:rPr>
          <w:color w:val="auto"/>
        </w:rPr>
        <w:t>,</w:t>
      </w:r>
      <w:r w:rsidRPr="004825BB">
        <w:rPr>
          <w:color w:val="auto"/>
        </w:rPr>
        <w:t xml:space="preserve"> and other comorbidities were excluded in the initial survey.</w:t>
      </w:r>
      <w:r w:rsidRPr="004825BB" w:rsidDel="00F92B82">
        <w:rPr>
          <w:color w:val="auto"/>
        </w:rPr>
        <w:t xml:space="preserve"> </w:t>
      </w:r>
      <w:r w:rsidRPr="004825BB">
        <w:rPr>
          <w:color w:val="auto"/>
        </w:rPr>
        <w:t>Patients with cognitive impairment or not wishing to participate were also excluded.</w:t>
      </w:r>
    </w:p>
    <w:p w14:paraId="17196FED" w14:textId="77777777" w:rsidR="00FB785E" w:rsidRPr="004825BB" w:rsidRDefault="00FB785E" w:rsidP="00E23E78">
      <w:pPr>
        <w:pStyle w:val="MDPI31text"/>
      </w:pPr>
      <w:r w:rsidRPr="004825BB">
        <w:t>Patients included in the first personal query who could not be entered into the second telephone query were asked for their reason for not responding.</w:t>
      </w:r>
    </w:p>
    <w:p w14:paraId="45E79643" w14:textId="77777777" w:rsidR="00FB785E" w:rsidRPr="004825BB" w:rsidRDefault="00E338ED" w:rsidP="00E23E78">
      <w:pPr>
        <w:pStyle w:val="MDPI22heading2"/>
        <w:spacing w:before="240"/>
        <w:rPr>
          <w:noProof w:val="0"/>
        </w:rPr>
      </w:pPr>
      <w:r w:rsidRPr="004825BB">
        <w:rPr>
          <w:noProof w:val="0"/>
          <w:highlight w:val="yellow"/>
        </w:rPr>
        <w:t>2.3.</w:t>
      </w:r>
      <w:r w:rsidRPr="004825BB">
        <w:rPr>
          <w:noProof w:val="0"/>
        </w:rPr>
        <w:t xml:space="preserve"> </w:t>
      </w:r>
      <w:r w:rsidR="00FB785E" w:rsidRPr="004825BB">
        <w:rPr>
          <w:noProof w:val="0"/>
        </w:rPr>
        <w:t xml:space="preserve">Study </w:t>
      </w:r>
      <w:r w:rsidRPr="004825BB">
        <w:rPr>
          <w:noProof w:val="0"/>
        </w:rPr>
        <w:t>Outcomes</w:t>
      </w:r>
    </w:p>
    <w:p w14:paraId="607C66E6" w14:textId="77777777" w:rsidR="00FB785E" w:rsidRPr="004825BB" w:rsidRDefault="00FB785E" w:rsidP="00E23E78">
      <w:pPr>
        <w:pStyle w:val="MDPI31text"/>
      </w:pPr>
      <w:r w:rsidRPr="004825BB">
        <w:t>We used the following study outcomes grouped into four domains of interest:</w:t>
      </w:r>
    </w:p>
    <w:p w14:paraId="1F84683D" w14:textId="77777777" w:rsidR="00FB785E" w:rsidRPr="004825BB" w:rsidRDefault="00FB785E" w:rsidP="00DD0707">
      <w:pPr>
        <w:pStyle w:val="MDPI31text"/>
        <w:numPr>
          <w:ilvl w:val="0"/>
          <w:numId w:val="30"/>
        </w:numPr>
        <w:spacing w:before="60"/>
        <w:ind w:left="3033" w:hanging="425"/>
      </w:pPr>
      <w:r w:rsidRPr="004825BB">
        <w:t>Clinical outcomes: visual acuity (VA), visual impairment (</w:t>
      </w:r>
      <w:r w:rsidRPr="004825BB">
        <w:rPr>
          <w:color w:val="auto"/>
        </w:rPr>
        <w:t xml:space="preserve">WHO definitions) [18], number of intravitreal injections and unilateral or bilateral disease, </w:t>
      </w:r>
      <w:r w:rsidR="00EA0A97">
        <w:rPr>
          <w:color w:val="auto"/>
        </w:rPr>
        <w:t xml:space="preserve">and </w:t>
      </w:r>
      <w:r w:rsidRPr="004825BB">
        <w:rPr>
          <w:color w:val="auto"/>
        </w:rPr>
        <w:t>cataract surgery between the two surveys.</w:t>
      </w:r>
    </w:p>
    <w:p w14:paraId="359FA81B" w14:textId="77777777" w:rsidR="00FB785E" w:rsidRPr="004825BB" w:rsidRDefault="00FB785E" w:rsidP="00DD0707">
      <w:pPr>
        <w:pStyle w:val="MDPI31text"/>
        <w:numPr>
          <w:ilvl w:val="0"/>
          <w:numId w:val="30"/>
        </w:numPr>
        <w:ind w:left="3033" w:hanging="425"/>
      </w:pPr>
      <w:proofErr w:type="spellStart"/>
      <w:r w:rsidRPr="004825BB">
        <w:t>HRQoL</w:t>
      </w:r>
      <w:proofErr w:type="spellEnd"/>
      <w:r w:rsidRPr="004825BB">
        <w:t>: Patients were asked to complete the EQ-5D-3L questionnaire [19]. The validated Spanish version of the EQ-5D-3L questionnaire, including the EQ Visual Analo</w:t>
      </w:r>
      <w:r w:rsidR="007B4127">
        <w:t xml:space="preserve">gue Scale (EQ VAS), was used </w:t>
      </w:r>
      <w:commentRangeStart w:id="29"/>
      <w:r w:rsidR="007B4127">
        <w:t>[19</w:t>
      </w:r>
      <w:r w:rsidRPr="004825BB">
        <w:t xml:space="preserve">]. </w:t>
      </w:r>
      <w:commentRangeEnd w:id="29"/>
      <w:r w:rsidR="007B4127">
        <w:rPr>
          <w:rStyle w:val="Refdecomentario"/>
          <w:rFonts w:eastAsia="SimSun"/>
          <w:snapToGrid/>
          <w:kern w:val="0"/>
          <w:lang w:eastAsia="zh-CN" w:bidi="ar-SA"/>
          <w14:ligatures w14:val="none"/>
        </w:rPr>
        <w:commentReference w:id="29"/>
      </w:r>
      <w:r w:rsidRPr="004825BB">
        <w:t xml:space="preserve">The EQ-5D instrument is a generic instrument that provides a summary of </w:t>
      </w:r>
      <w:proofErr w:type="spellStart"/>
      <w:r w:rsidRPr="004825BB">
        <w:t>HRQoL</w:t>
      </w:r>
      <w:proofErr w:type="spellEnd"/>
      <w:r w:rsidRPr="004825BB">
        <w:t xml:space="preserve">. The questionnaire was developed by the </w:t>
      </w:r>
      <w:proofErr w:type="spellStart"/>
      <w:r w:rsidRPr="004825BB">
        <w:t>EuroQol</w:t>
      </w:r>
      <w:proofErr w:type="spellEnd"/>
      <w:r w:rsidRPr="004825BB">
        <w:t xml:space="preserve"> Group for measuring </w:t>
      </w:r>
      <w:proofErr w:type="spellStart"/>
      <w:r w:rsidRPr="004825BB">
        <w:t>HRQoL</w:t>
      </w:r>
      <w:proofErr w:type="spellEnd"/>
      <w:r w:rsidRPr="004825BB">
        <w:t xml:space="preserve"> and consists of the EQ-5D descriptive system and the EQ VAS. The EQ descriptive system explores five health dimensions (mobility, self-care, activity, pain/discomfort, and anxiety/depression) that produce a </w:t>
      </w:r>
      <w:r w:rsidR="00E6185D">
        <w:t>five</w:t>
      </w:r>
      <w:r w:rsidRPr="004825BB">
        <w:t>-digit health state profile for each patient. EQ-5D health states may be converted</w:t>
      </w:r>
      <w:r w:rsidR="00320FAC" w:rsidRPr="00320FAC">
        <w:t xml:space="preserve"> </w:t>
      </w:r>
      <w:r w:rsidR="00320FAC" w:rsidRPr="004825BB">
        <w:t>afterwards</w:t>
      </w:r>
      <w:r w:rsidRPr="004825BB">
        <w:t xml:space="preserve"> into a definite summary number: an index value also known as the health index. </w:t>
      </w:r>
      <w:r w:rsidR="00C44BB6">
        <w:t>The h</w:t>
      </w:r>
      <w:r w:rsidRPr="004825BB">
        <w:t>ealth index reflects how good or bad a health state is, according to the preferences of the general population of a precise country/region, ensuring that the index values represent the societal perspective.</w:t>
      </w:r>
      <w:r w:rsidR="00F07CEB" w:rsidRPr="004825BB">
        <w:t xml:space="preserve"> </w:t>
      </w:r>
      <w:r w:rsidRPr="004825BB">
        <w:t>The index value has a maximum value of 1 for perfect health</w:t>
      </w:r>
      <w:r w:rsidR="00A677DD">
        <w:t>,</w:t>
      </w:r>
      <w:r w:rsidRPr="004825BB">
        <w:t xml:space="preserve"> 0 represents death, and negative values reflect states worse than death [19]. The EQ VAS is a visual scale from 0 to 100, where 0 is the worst imag</w:t>
      </w:r>
      <w:r w:rsidR="00752375">
        <w:t>in</w:t>
      </w:r>
      <w:r w:rsidRPr="004825BB">
        <w:t>ed state of health and 100 means the best [19].</w:t>
      </w:r>
    </w:p>
    <w:p w14:paraId="4900D346" w14:textId="77777777" w:rsidR="00FB785E" w:rsidRPr="004825BB" w:rsidRDefault="00FB785E" w:rsidP="00DD0707">
      <w:pPr>
        <w:pStyle w:val="MDPI31text"/>
        <w:numPr>
          <w:ilvl w:val="0"/>
          <w:numId w:val="30"/>
        </w:numPr>
        <w:ind w:left="3033" w:hanging="425"/>
      </w:pPr>
      <w:r w:rsidRPr="004825BB">
        <w:t xml:space="preserve">Social support: To assess the caregiver support and social network that the patient can have </w:t>
      </w:r>
      <w:r w:rsidR="0028791B">
        <w:t>if</w:t>
      </w:r>
      <w:r w:rsidRPr="004825BB">
        <w:t xml:space="preserve"> need</w:t>
      </w:r>
      <w:r w:rsidR="0028791B">
        <w:t>ed</w:t>
      </w:r>
      <w:r w:rsidRPr="004825BB">
        <w:t xml:space="preserve">, four questions concerning tangible support from the </w:t>
      </w:r>
      <w:commentRangeStart w:id="30"/>
      <w:commentRangeStart w:id="31"/>
      <w:commentRangeStart w:id="32"/>
      <w:r w:rsidRPr="004825BB">
        <w:t>Medical Outcome</w:t>
      </w:r>
      <w:r w:rsidR="001B198F">
        <w:t>s</w:t>
      </w:r>
      <w:r w:rsidRPr="004825BB">
        <w:t xml:space="preserve"> </w:t>
      </w:r>
      <w:r w:rsidR="00BC211F">
        <w:t>Study</w:t>
      </w:r>
      <w:r w:rsidR="00BC211F" w:rsidRPr="004825BB">
        <w:t xml:space="preserve"> </w:t>
      </w:r>
      <w:commentRangeEnd w:id="30"/>
      <w:r w:rsidR="001B198F">
        <w:rPr>
          <w:rStyle w:val="Refdecomentario"/>
          <w:rFonts w:eastAsia="SimSun"/>
          <w:noProof/>
          <w:snapToGrid/>
          <w:kern w:val="0"/>
          <w:lang w:eastAsia="zh-CN" w:bidi="ar-SA"/>
          <w14:ligatures w14:val="none"/>
        </w:rPr>
        <w:commentReference w:id="30"/>
      </w:r>
      <w:commentRangeEnd w:id="31"/>
      <w:commentRangeEnd w:id="32"/>
      <w:r w:rsidR="00455C91">
        <w:rPr>
          <w:rStyle w:val="Refdecomentario"/>
          <w:rFonts w:eastAsia="SimSun"/>
          <w:snapToGrid/>
          <w:kern w:val="0"/>
          <w:lang w:eastAsia="zh-CN" w:bidi="ar-SA"/>
          <w14:ligatures w14:val="none"/>
        </w:rPr>
        <w:commentReference w:id="32"/>
      </w:r>
      <w:r w:rsidR="00805102">
        <w:rPr>
          <w:rStyle w:val="Refdecomentario"/>
          <w:rFonts w:eastAsia="SimSun"/>
          <w:snapToGrid/>
          <w:kern w:val="0"/>
          <w:lang w:eastAsia="zh-CN" w:bidi="ar-SA"/>
          <w14:ligatures w14:val="none"/>
        </w:rPr>
        <w:commentReference w:id="31"/>
      </w:r>
      <w:r w:rsidRPr="004825BB">
        <w:t>(MOS) Social Support questionnaire were used [20]. The MOS Social Support Survey (MOS SSS) Instrument consists of four separate social support subscales or dimensions (emotional/informational support, tangible support, affectionate support, and positive social interaction). A higher score on the scale or for overall support indicates more support. The instrumental or tangible support subscale qualifies the type of material or assistance aid, which can be measured</w:t>
      </w:r>
      <w:r w:rsidR="00FA08B3" w:rsidRPr="00FA08B3">
        <w:t xml:space="preserve"> </w:t>
      </w:r>
      <w:r w:rsidR="00FA08B3" w:rsidRPr="004825BB">
        <w:t>in some way</w:t>
      </w:r>
      <w:r w:rsidRPr="004825BB">
        <w:t>. This includes economic or financial support, material help</w:t>
      </w:r>
      <w:r w:rsidR="00173301">
        <w:t xml:space="preserve"> in</w:t>
      </w:r>
      <w:r w:rsidRPr="004825BB">
        <w:t xml:space="preserve"> obtaining goods or services, collaboration with housework</w:t>
      </w:r>
      <w:r w:rsidR="00173301">
        <w:t>,</w:t>
      </w:r>
      <w:r w:rsidRPr="004825BB">
        <w:t xml:space="preserve"> and caring for the patient [20]. Responses range from 1 (none of the time) to 5 (</w:t>
      </w:r>
      <w:proofErr w:type="gramStart"/>
      <w:r w:rsidRPr="004825BB">
        <w:t>all of</w:t>
      </w:r>
      <w:proofErr w:type="gramEnd"/>
      <w:r w:rsidRPr="004825BB">
        <w:t xml:space="preserve"> the time). Higher scores indicate a higher level of social support. The maximum possible tangible scale score is 20. Scale scores were transformed to a </w:t>
      </w:r>
      <w:r w:rsidR="00227CB7" w:rsidRPr="004825BB">
        <w:t>0–100</w:t>
      </w:r>
      <w:r w:rsidR="00841E60">
        <w:t>-</w:t>
      </w:r>
      <w:r w:rsidRPr="004825BB">
        <w:t>scale tangible support index for better comparison [21].</w:t>
      </w:r>
    </w:p>
    <w:p w14:paraId="3FB5F880" w14:textId="77777777" w:rsidR="00FB785E" w:rsidRPr="004825BB" w:rsidRDefault="00FB785E" w:rsidP="00DD0707">
      <w:pPr>
        <w:pStyle w:val="MDPI31text"/>
        <w:numPr>
          <w:ilvl w:val="0"/>
          <w:numId w:val="30"/>
        </w:numPr>
        <w:ind w:left="3033" w:hanging="425"/>
      </w:pPr>
      <w:r w:rsidRPr="004825BB">
        <w:t>Changes in living conditions and medical visits due to the COVID-19 pandemic. A specific questionnaire was designed and offered to the patients to determine pandemic-related questions.</w:t>
      </w:r>
    </w:p>
    <w:p w14:paraId="430B18B2" w14:textId="77777777" w:rsidR="00FB785E" w:rsidRPr="004825BB" w:rsidRDefault="00E338ED" w:rsidP="00E23E78">
      <w:pPr>
        <w:pStyle w:val="MDPI22heading2"/>
        <w:spacing w:before="240"/>
        <w:rPr>
          <w:noProof w:val="0"/>
        </w:rPr>
      </w:pPr>
      <w:r w:rsidRPr="004825BB">
        <w:rPr>
          <w:noProof w:val="0"/>
          <w:highlight w:val="yellow"/>
        </w:rPr>
        <w:t>2.4.</w:t>
      </w:r>
      <w:r w:rsidRPr="004825BB">
        <w:rPr>
          <w:noProof w:val="0"/>
        </w:rPr>
        <w:t xml:space="preserve"> </w:t>
      </w:r>
      <w:r w:rsidR="00FB785E" w:rsidRPr="004825BB">
        <w:rPr>
          <w:noProof w:val="0"/>
        </w:rPr>
        <w:t>Variables</w:t>
      </w:r>
    </w:p>
    <w:p w14:paraId="1BBF4879" w14:textId="77777777" w:rsidR="00FB785E" w:rsidRPr="004825BB" w:rsidRDefault="00FB785E" w:rsidP="00E23E78">
      <w:pPr>
        <w:pStyle w:val="MDPI31text"/>
      </w:pPr>
      <w:r w:rsidRPr="004825BB">
        <w:lastRenderedPageBreak/>
        <w:t>Demographic and medical variables were retrieved from the clinical files of patients. The data included information about the patients’ sex, age, treated eye/s, unilateral and bilateral distance best-corrected VA (BCVA), degree of visual impairment, unilateral or bilateral need for treatment, time from the beginning of treatment, number of intravitreal injections, change in VA after starting treatment</w:t>
      </w:r>
      <w:r w:rsidR="00AB44F2">
        <w:t>,</w:t>
      </w:r>
      <w:r w:rsidRPr="004825BB">
        <w:t xml:space="preserve"> and change in VA between surveys. All-distance best-corrected VAs (BCVAs) were recorded using a Snellen chart and converted to the logarithm of the minimum angle of resolution (LogMAR) using a validated procedure [22]. BCVA and visual impairment grade were considered at both the initial (pre-COVID) and final query (after</w:t>
      </w:r>
      <w:r w:rsidR="0013650D">
        <w:t xml:space="preserve"> </w:t>
      </w:r>
      <w:r w:rsidRPr="004825BB">
        <w:t xml:space="preserve">COVID). The VA change per eye was considered </w:t>
      </w:r>
      <w:r w:rsidR="001D148B">
        <w:t xml:space="preserve">an </w:t>
      </w:r>
      <w:r w:rsidRPr="004825BB">
        <w:t>improvement or worsening if there was an increase or decrease in one step on the LogMAR scale, respectively. Regarding the VA change per patient, improvement was considered to occur when there was improvement in both eyes or when the combined change in VA in both eyes was an improvement. Worsening was considered when there was worsening in both eyes or when the combined change in VA in both eyes worsened.</w:t>
      </w:r>
    </w:p>
    <w:p w14:paraId="144BFB56" w14:textId="77777777" w:rsidR="00FB785E" w:rsidRPr="004825BB" w:rsidRDefault="00FB785E" w:rsidP="00E23E78">
      <w:pPr>
        <w:pStyle w:val="MDPI31text"/>
      </w:pPr>
      <w:r w:rsidRPr="004825BB">
        <w:t>Information about the distance from the residence to the ophthalmology service was also recorded.</w:t>
      </w:r>
    </w:p>
    <w:p w14:paraId="41F5E09E" w14:textId="77777777" w:rsidR="00FB785E" w:rsidRPr="004825BB" w:rsidRDefault="00E338ED" w:rsidP="00E23E78">
      <w:pPr>
        <w:pStyle w:val="MDPI22heading2"/>
        <w:spacing w:before="240"/>
        <w:rPr>
          <w:noProof w:val="0"/>
        </w:rPr>
      </w:pPr>
      <w:r w:rsidRPr="004825BB">
        <w:rPr>
          <w:noProof w:val="0"/>
          <w:highlight w:val="yellow"/>
        </w:rPr>
        <w:t>2.5.</w:t>
      </w:r>
      <w:r w:rsidRPr="004825BB">
        <w:rPr>
          <w:noProof w:val="0"/>
        </w:rPr>
        <w:t xml:space="preserve"> </w:t>
      </w:r>
      <w:r w:rsidR="00FB785E" w:rsidRPr="004825BB">
        <w:rPr>
          <w:noProof w:val="0"/>
        </w:rPr>
        <w:t xml:space="preserve">Statistical </w:t>
      </w:r>
      <w:r w:rsidRPr="004825BB">
        <w:rPr>
          <w:noProof w:val="0"/>
        </w:rPr>
        <w:t>Analysis</w:t>
      </w:r>
    </w:p>
    <w:p w14:paraId="10B6E717" w14:textId="77777777" w:rsidR="00FB785E" w:rsidRPr="004825BB" w:rsidRDefault="00FB785E" w:rsidP="00E23E78">
      <w:pPr>
        <w:pStyle w:val="MDPI31text"/>
      </w:pPr>
      <w:r w:rsidRPr="004825BB">
        <w:t xml:space="preserve">Numerical variables were summarized as means and standard deviations, and categorical variables were summarized as frequencies and percentages. The 95% confidence interval (95% CI) was calculated for the corresponding parameters. Numerical variables such as age, treatment duration, number of injections, and VA were set in quartiles. </w:t>
      </w:r>
      <w:r w:rsidR="00AD6D5A" w:rsidRPr="004825BB">
        <w:rPr>
          <w:i/>
          <w:iCs/>
        </w:rPr>
        <w:t>t</w:t>
      </w:r>
      <w:r w:rsidR="005C257A">
        <w:t>-</w:t>
      </w:r>
      <w:r w:rsidRPr="004825BB">
        <w:t>tests, one-way analysis of variance</w:t>
      </w:r>
      <w:r w:rsidR="00660160">
        <w:t>,</w:t>
      </w:r>
      <w:r w:rsidRPr="004825BB">
        <w:t xml:space="preserve"> or correlation coefficients were used to relate QoL scores and social support scores </w:t>
      </w:r>
      <w:r w:rsidR="008C410B">
        <w:t>to</w:t>
      </w:r>
      <w:r w:rsidR="008C410B" w:rsidRPr="004825BB">
        <w:t xml:space="preserve"> </w:t>
      </w:r>
      <w:r w:rsidRPr="004825BB">
        <w:t>sociodemographic and clinical variables.</w:t>
      </w:r>
    </w:p>
    <w:p w14:paraId="53CC2117" w14:textId="77777777" w:rsidR="00FB785E" w:rsidRPr="004825BB" w:rsidRDefault="00FB785E" w:rsidP="00E23E78">
      <w:pPr>
        <w:pStyle w:val="MDPI31text"/>
      </w:pPr>
      <w:r w:rsidRPr="004825BB">
        <w:t>EQ-5D results were compared with similar data from an age-matched population based on the Spanish 2012 National Health Survey. EQ-5D results were also compared with those from an age-matched cohort divided by sex based on the same survey. The Spanish 2012 National Health Survey was the last National Health Survey that used the EQ-5D-3L questionnaire.</w:t>
      </w:r>
    </w:p>
    <w:p w14:paraId="591E50FC" w14:textId="77777777" w:rsidR="00FB785E" w:rsidRPr="004825BB" w:rsidRDefault="00043EA3" w:rsidP="00E23E78">
      <w:pPr>
        <w:pStyle w:val="MDPI31text"/>
      </w:pPr>
      <w:r w:rsidRPr="004825BB">
        <w:rPr>
          <w:i/>
        </w:rPr>
        <w:t>p</w:t>
      </w:r>
      <w:r w:rsidR="00FB785E" w:rsidRPr="004825BB">
        <w:t xml:space="preserve"> values lower than 0.05 were considered statistically significant. The statistical analysis was performed using </w:t>
      </w:r>
      <w:r w:rsidR="00B333AB">
        <w:t xml:space="preserve">the </w:t>
      </w:r>
      <w:r w:rsidR="00FB785E" w:rsidRPr="004825BB">
        <w:t>R-4.1.0 package</w:t>
      </w:r>
      <w:r w:rsidR="00DC3E3D">
        <w:t xml:space="preserve"> </w:t>
      </w:r>
      <w:r w:rsidR="00DC3E3D" w:rsidRPr="00D106D0">
        <w:rPr>
          <w:highlight w:val="yellow"/>
        </w:rPr>
        <w:t>(</w:t>
      </w:r>
      <w:commentRangeStart w:id="33"/>
      <w:commentRangeStart w:id="34"/>
      <w:r w:rsidR="00D106D0" w:rsidRPr="00D106D0">
        <w:rPr>
          <w:highlight w:val="yellow"/>
        </w:rPr>
        <w:t>R Foundation for Statistical Computing, Vienna, Austria</w:t>
      </w:r>
      <w:r w:rsidR="00DC3E3D" w:rsidRPr="00D106D0">
        <w:rPr>
          <w:highlight w:val="yellow"/>
        </w:rPr>
        <w:t>)</w:t>
      </w:r>
      <w:r w:rsidR="00FB785E" w:rsidRPr="00D106D0">
        <w:rPr>
          <w:highlight w:val="yellow"/>
        </w:rPr>
        <w:t>.</w:t>
      </w:r>
      <w:commentRangeEnd w:id="33"/>
      <w:r w:rsidR="00D106D0">
        <w:rPr>
          <w:rStyle w:val="Refdecomentario"/>
          <w:rFonts w:eastAsia="SimSun"/>
          <w:noProof/>
          <w:snapToGrid/>
          <w:kern w:val="0"/>
          <w:lang w:eastAsia="zh-CN" w:bidi="ar-SA"/>
          <w14:ligatures w14:val="none"/>
        </w:rPr>
        <w:commentReference w:id="33"/>
      </w:r>
      <w:commentRangeEnd w:id="34"/>
      <w:r w:rsidR="00805102">
        <w:rPr>
          <w:rStyle w:val="Refdecomentario"/>
          <w:rFonts w:eastAsia="SimSun"/>
          <w:snapToGrid/>
          <w:kern w:val="0"/>
          <w:lang w:eastAsia="zh-CN" w:bidi="ar-SA"/>
          <w14:ligatures w14:val="none"/>
        </w:rPr>
        <w:commentReference w:id="34"/>
      </w:r>
    </w:p>
    <w:p w14:paraId="7B15C762" w14:textId="77777777" w:rsidR="00FB785E" w:rsidRPr="004825BB" w:rsidRDefault="00E23E78" w:rsidP="00E23E78">
      <w:pPr>
        <w:pStyle w:val="MDPI21heading1"/>
      </w:pPr>
      <w:r w:rsidRPr="004825BB">
        <w:t xml:space="preserve">3. </w:t>
      </w:r>
      <w:r w:rsidR="00FB785E" w:rsidRPr="004825BB">
        <w:t>Results</w:t>
      </w:r>
    </w:p>
    <w:p w14:paraId="0D8EF3C4" w14:textId="77777777" w:rsidR="00FB785E" w:rsidRPr="004825BB" w:rsidRDefault="00E23E78" w:rsidP="00E23E78">
      <w:pPr>
        <w:pStyle w:val="MDPI22heading2"/>
        <w:rPr>
          <w:noProof w:val="0"/>
        </w:rPr>
      </w:pPr>
      <w:r w:rsidRPr="004825BB">
        <w:rPr>
          <w:noProof w:val="0"/>
        </w:rPr>
        <w:t xml:space="preserve">3.1. </w:t>
      </w:r>
      <w:r w:rsidR="00FB785E" w:rsidRPr="004825BB">
        <w:rPr>
          <w:noProof w:val="0"/>
        </w:rPr>
        <w:t xml:space="preserve">Study </w:t>
      </w:r>
      <w:r w:rsidR="0089403E" w:rsidRPr="004825BB">
        <w:rPr>
          <w:noProof w:val="0"/>
        </w:rPr>
        <w:t>Population</w:t>
      </w:r>
    </w:p>
    <w:p w14:paraId="402A4EBD" w14:textId="77777777" w:rsidR="00FB785E" w:rsidRPr="004825BB" w:rsidRDefault="00AA4774" w:rsidP="00E23E78">
      <w:pPr>
        <w:pStyle w:val="MDPI31text"/>
      </w:pPr>
      <w:r>
        <w:t>O</w:t>
      </w:r>
      <w:r w:rsidR="00FB785E" w:rsidRPr="004825BB">
        <w:t>f the 102 patients initially surveyed</w:t>
      </w:r>
      <w:r w:rsidR="00280B6C">
        <w:t>, 24</w:t>
      </w:r>
      <w:r w:rsidR="00FB785E" w:rsidRPr="004825BB">
        <w:t xml:space="preserve"> did not answer the final survey, including 4 patients who decided to abandon the treatment and ophthalmic periodic visits, 6 patients who were not located, 4 patients who refused to participate</w:t>
      </w:r>
      <w:r w:rsidR="00280B6C">
        <w:t>,</w:t>
      </w:r>
      <w:r w:rsidR="00FB785E" w:rsidRPr="004825BB">
        <w:t xml:space="preserve"> and 10 patients who died (2 of them died due to COVID-19-related complications).</w:t>
      </w:r>
    </w:p>
    <w:p w14:paraId="321B8CC4" w14:textId="77777777" w:rsidR="00FB785E" w:rsidRPr="004825BB" w:rsidRDefault="00FB785E" w:rsidP="00E23E78">
      <w:pPr>
        <w:pStyle w:val="MDPI31text"/>
      </w:pPr>
      <w:r w:rsidRPr="004825BB">
        <w:t xml:space="preserve">Seventy-eight patients were interviewed in the two waves of the study. The mean age of the patients at the initial survey was 81.2 </w:t>
      </w:r>
      <w:r w:rsidR="00F07CEB" w:rsidRPr="004825BB">
        <w:t>±</w:t>
      </w:r>
      <w:r w:rsidRPr="004825BB">
        <w:t xml:space="preserve"> 7.1 years, and 45 were female (57.7%). </w:t>
      </w:r>
      <w:r w:rsidR="003157BA">
        <w:t>The d</w:t>
      </w:r>
      <w:r w:rsidRPr="004825BB">
        <w:t xml:space="preserve">emographic data of </w:t>
      </w:r>
      <w:r w:rsidR="003157BA">
        <w:t xml:space="preserve">the </w:t>
      </w:r>
      <w:r w:rsidRPr="004825BB">
        <w:t>patients are detailed in Table 1.</w:t>
      </w:r>
    </w:p>
    <w:p w14:paraId="65F40874" w14:textId="77777777" w:rsidR="007522FF" w:rsidRPr="004825BB" w:rsidRDefault="007522FF" w:rsidP="007522FF">
      <w:pPr>
        <w:pStyle w:val="MDPI41tablecaption"/>
      </w:pPr>
      <w:commentRangeStart w:id="35"/>
      <w:commentRangeStart w:id="36"/>
      <w:r w:rsidRPr="004825BB">
        <w:rPr>
          <w:b/>
          <w:bCs/>
          <w:highlight w:val="yellow"/>
        </w:rPr>
        <w:t xml:space="preserve">Table 1. </w:t>
      </w:r>
      <w:commentRangeEnd w:id="35"/>
      <w:r w:rsidR="00DD0707" w:rsidRPr="004825BB">
        <w:rPr>
          <w:rStyle w:val="Refdecomentario"/>
          <w:rFonts w:eastAsia="SimSun" w:cs="Times New Roman"/>
          <w:kern w:val="0"/>
          <w:lang w:eastAsia="zh-CN" w:bidi="ar-SA"/>
          <w14:ligatures w14:val="none"/>
        </w:rPr>
        <w:commentReference w:id="35"/>
      </w:r>
      <w:commentRangeEnd w:id="36"/>
      <w:r w:rsidR="00805102">
        <w:rPr>
          <w:rStyle w:val="Refdecomentario"/>
          <w:rFonts w:eastAsia="SimSun" w:cs="Times New Roman"/>
          <w:kern w:val="0"/>
          <w:lang w:eastAsia="zh-CN" w:bidi="ar-SA"/>
          <w14:ligatures w14:val="none"/>
        </w:rPr>
        <w:commentReference w:id="36"/>
      </w:r>
      <w:r w:rsidRPr="004825BB">
        <w:t>Demographic characteristics of the sample at the initial and final survey</w:t>
      </w:r>
      <w:r w:rsidR="009A197C">
        <w:t>s</w:t>
      </w:r>
      <w:r w:rsidRPr="004825BB">
        <w:t>.</w:t>
      </w:r>
    </w:p>
    <w:tbl>
      <w:tblPr>
        <w:tblStyle w:val="Tablaconcuadrcula"/>
        <w:tblW w:w="7857" w:type="dxa"/>
        <w:tblInd w:w="2608" w:type="dxa"/>
        <w:tblLayout w:type="fixed"/>
        <w:tblCellMar>
          <w:left w:w="0" w:type="dxa"/>
          <w:right w:w="0" w:type="dxa"/>
        </w:tblCellMar>
        <w:tblLook w:val="04A0" w:firstRow="1" w:lastRow="0" w:firstColumn="1" w:lastColumn="0" w:noHBand="0" w:noVBand="1"/>
      </w:tblPr>
      <w:tblGrid>
        <w:gridCol w:w="3366"/>
        <w:gridCol w:w="2370"/>
        <w:gridCol w:w="2121"/>
      </w:tblGrid>
      <w:tr w:rsidR="007522FF" w:rsidRPr="004825BB" w14:paraId="666393AF" w14:textId="77777777" w:rsidTr="000315FA">
        <w:tc>
          <w:tcPr>
            <w:tcW w:w="3366" w:type="dxa"/>
            <w:tcBorders>
              <w:top w:val="single" w:sz="8" w:space="0" w:color="auto"/>
              <w:left w:val="nil"/>
              <w:right w:val="nil"/>
            </w:tcBorders>
            <w:shd w:val="clear" w:color="auto" w:fill="auto"/>
            <w:vAlign w:val="center"/>
          </w:tcPr>
          <w:p w14:paraId="5DF52E65" w14:textId="77777777" w:rsidR="007522FF" w:rsidRPr="004825BB" w:rsidRDefault="007522FF" w:rsidP="000315FA">
            <w:pPr>
              <w:pStyle w:val="MDPI31text"/>
              <w:autoSpaceDE w:val="0"/>
              <w:autoSpaceDN w:val="0"/>
              <w:spacing w:line="240" w:lineRule="auto"/>
              <w:ind w:left="0" w:firstLine="0"/>
              <w:jc w:val="left"/>
              <w:rPr>
                <w:b/>
                <w:bCs/>
              </w:rPr>
            </w:pPr>
          </w:p>
        </w:tc>
        <w:tc>
          <w:tcPr>
            <w:tcW w:w="2370" w:type="dxa"/>
            <w:tcBorders>
              <w:top w:val="single" w:sz="8" w:space="0" w:color="auto"/>
              <w:left w:val="nil"/>
              <w:right w:val="nil"/>
            </w:tcBorders>
            <w:shd w:val="clear" w:color="auto" w:fill="auto"/>
            <w:vAlign w:val="center"/>
          </w:tcPr>
          <w:p w14:paraId="2201B3E2" w14:textId="77777777" w:rsidR="007522FF" w:rsidRPr="004825BB" w:rsidRDefault="007522FF" w:rsidP="000315FA">
            <w:pPr>
              <w:pStyle w:val="MDPI31text"/>
              <w:autoSpaceDE w:val="0"/>
              <w:autoSpaceDN w:val="0"/>
              <w:spacing w:line="240" w:lineRule="auto"/>
              <w:ind w:left="0" w:firstLine="0"/>
              <w:jc w:val="center"/>
              <w:rPr>
                <w:b/>
                <w:bCs/>
              </w:rPr>
            </w:pPr>
            <w:r w:rsidRPr="004825BB">
              <w:rPr>
                <w:b/>
                <w:bCs/>
              </w:rPr>
              <w:t>Mean ± SD [%] (95% CI)</w:t>
            </w:r>
          </w:p>
        </w:tc>
        <w:tc>
          <w:tcPr>
            <w:tcW w:w="2121" w:type="dxa"/>
            <w:tcBorders>
              <w:top w:val="single" w:sz="8" w:space="0" w:color="auto"/>
              <w:left w:val="nil"/>
              <w:right w:val="nil"/>
            </w:tcBorders>
            <w:shd w:val="clear" w:color="auto" w:fill="auto"/>
            <w:vAlign w:val="center"/>
          </w:tcPr>
          <w:p w14:paraId="365E9AC0" w14:textId="77777777" w:rsidR="007522FF" w:rsidRPr="004825BB" w:rsidRDefault="007522FF" w:rsidP="000315FA">
            <w:pPr>
              <w:pStyle w:val="MDPI31text"/>
              <w:autoSpaceDE w:val="0"/>
              <w:autoSpaceDN w:val="0"/>
              <w:spacing w:line="240" w:lineRule="auto"/>
              <w:ind w:left="0" w:firstLine="0"/>
              <w:jc w:val="center"/>
              <w:rPr>
                <w:b/>
                <w:bCs/>
              </w:rPr>
            </w:pPr>
          </w:p>
        </w:tc>
      </w:tr>
      <w:tr w:rsidR="007522FF" w:rsidRPr="004825BB" w14:paraId="27297A4F" w14:textId="77777777" w:rsidTr="000315FA">
        <w:tc>
          <w:tcPr>
            <w:tcW w:w="3366" w:type="dxa"/>
            <w:tcBorders>
              <w:left w:val="nil"/>
              <w:right w:val="nil"/>
            </w:tcBorders>
            <w:shd w:val="clear" w:color="auto" w:fill="auto"/>
            <w:vAlign w:val="center"/>
          </w:tcPr>
          <w:p w14:paraId="15259BE9" w14:textId="77777777" w:rsidR="007522FF" w:rsidRPr="004825BB" w:rsidRDefault="007522FF" w:rsidP="000315FA">
            <w:pPr>
              <w:pStyle w:val="MDPI31text"/>
              <w:autoSpaceDE w:val="0"/>
              <w:autoSpaceDN w:val="0"/>
              <w:spacing w:line="240" w:lineRule="auto"/>
              <w:ind w:left="0" w:firstLine="0"/>
              <w:jc w:val="left"/>
              <w:rPr>
                <w:b/>
                <w:bCs/>
              </w:rPr>
            </w:pPr>
          </w:p>
        </w:tc>
        <w:tc>
          <w:tcPr>
            <w:tcW w:w="2370" w:type="dxa"/>
            <w:tcBorders>
              <w:left w:val="nil"/>
              <w:right w:val="nil"/>
            </w:tcBorders>
            <w:shd w:val="clear" w:color="auto" w:fill="auto"/>
            <w:vAlign w:val="center"/>
          </w:tcPr>
          <w:p w14:paraId="5EDAEC5F" w14:textId="77777777" w:rsidR="007522FF" w:rsidRPr="004825BB" w:rsidRDefault="007522FF" w:rsidP="000315FA">
            <w:pPr>
              <w:pStyle w:val="MDPI31text"/>
              <w:autoSpaceDE w:val="0"/>
              <w:autoSpaceDN w:val="0"/>
              <w:spacing w:line="240" w:lineRule="auto"/>
              <w:ind w:left="0" w:firstLine="0"/>
              <w:jc w:val="center"/>
              <w:rPr>
                <w:b/>
                <w:bCs/>
              </w:rPr>
            </w:pPr>
            <w:r w:rsidRPr="004825BB">
              <w:rPr>
                <w:b/>
                <w:bCs/>
              </w:rPr>
              <w:t xml:space="preserve">Initial </w:t>
            </w:r>
            <w:r w:rsidR="00B57CED" w:rsidRPr="004825BB">
              <w:rPr>
                <w:b/>
                <w:bCs/>
              </w:rPr>
              <w:t>Survey</w:t>
            </w:r>
          </w:p>
        </w:tc>
        <w:tc>
          <w:tcPr>
            <w:tcW w:w="2121" w:type="dxa"/>
            <w:tcBorders>
              <w:left w:val="nil"/>
              <w:right w:val="nil"/>
            </w:tcBorders>
            <w:shd w:val="clear" w:color="auto" w:fill="auto"/>
            <w:vAlign w:val="center"/>
          </w:tcPr>
          <w:p w14:paraId="0FAAD13B" w14:textId="77777777" w:rsidR="007522FF" w:rsidRPr="004825BB" w:rsidRDefault="007522FF" w:rsidP="000315FA">
            <w:pPr>
              <w:pStyle w:val="MDPI31text"/>
              <w:autoSpaceDE w:val="0"/>
              <w:autoSpaceDN w:val="0"/>
              <w:spacing w:line="240" w:lineRule="auto"/>
              <w:ind w:left="0" w:firstLine="0"/>
              <w:jc w:val="center"/>
              <w:rPr>
                <w:b/>
                <w:bCs/>
              </w:rPr>
            </w:pPr>
            <w:r w:rsidRPr="004825BB">
              <w:rPr>
                <w:b/>
                <w:bCs/>
              </w:rPr>
              <w:t xml:space="preserve">Final </w:t>
            </w:r>
            <w:r w:rsidR="00B57CED" w:rsidRPr="004825BB">
              <w:rPr>
                <w:b/>
                <w:bCs/>
              </w:rPr>
              <w:t>Survey</w:t>
            </w:r>
          </w:p>
        </w:tc>
      </w:tr>
      <w:tr w:rsidR="007522FF" w:rsidRPr="004825BB" w14:paraId="662BBEAC" w14:textId="77777777" w:rsidTr="000315FA">
        <w:tc>
          <w:tcPr>
            <w:tcW w:w="3366" w:type="dxa"/>
            <w:tcBorders>
              <w:left w:val="nil"/>
              <w:right w:val="nil"/>
            </w:tcBorders>
            <w:shd w:val="clear" w:color="auto" w:fill="auto"/>
            <w:vAlign w:val="center"/>
          </w:tcPr>
          <w:p w14:paraId="7D45F32D" w14:textId="77777777" w:rsidR="007522FF" w:rsidRPr="004825BB" w:rsidRDefault="007522FF" w:rsidP="000315FA">
            <w:pPr>
              <w:pStyle w:val="MDPI31text"/>
              <w:autoSpaceDE w:val="0"/>
              <w:autoSpaceDN w:val="0"/>
              <w:spacing w:line="240" w:lineRule="auto"/>
              <w:ind w:left="0" w:firstLine="0"/>
              <w:jc w:val="left"/>
            </w:pPr>
            <w:r w:rsidRPr="004825BB">
              <w:t>Age (years)</w:t>
            </w:r>
          </w:p>
        </w:tc>
        <w:tc>
          <w:tcPr>
            <w:tcW w:w="2370" w:type="dxa"/>
            <w:tcBorders>
              <w:left w:val="nil"/>
              <w:right w:val="nil"/>
            </w:tcBorders>
            <w:shd w:val="clear" w:color="auto" w:fill="auto"/>
            <w:vAlign w:val="center"/>
          </w:tcPr>
          <w:p w14:paraId="7F8EF450" w14:textId="77777777" w:rsidR="007522FF" w:rsidRPr="004825BB" w:rsidRDefault="007522FF" w:rsidP="000315FA">
            <w:pPr>
              <w:pStyle w:val="MDPI31text"/>
              <w:autoSpaceDE w:val="0"/>
              <w:autoSpaceDN w:val="0"/>
              <w:spacing w:line="240" w:lineRule="auto"/>
              <w:ind w:left="0" w:firstLine="0"/>
              <w:jc w:val="center"/>
            </w:pPr>
            <w:r w:rsidRPr="004825BB">
              <w:t>81.2 ± 7.1 (79.6–82.8)</w:t>
            </w:r>
          </w:p>
        </w:tc>
        <w:tc>
          <w:tcPr>
            <w:tcW w:w="2121" w:type="dxa"/>
            <w:tcBorders>
              <w:left w:val="nil"/>
              <w:right w:val="nil"/>
            </w:tcBorders>
            <w:shd w:val="clear" w:color="auto" w:fill="auto"/>
            <w:vAlign w:val="center"/>
          </w:tcPr>
          <w:p w14:paraId="2A3FA1B7" w14:textId="77777777" w:rsidR="007522FF" w:rsidRPr="004825BB" w:rsidRDefault="007522FF" w:rsidP="000315FA">
            <w:pPr>
              <w:pStyle w:val="MDPI31text"/>
              <w:autoSpaceDE w:val="0"/>
              <w:autoSpaceDN w:val="0"/>
              <w:spacing w:line="240" w:lineRule="auto"/>
              <w:ind w:left="0" w:firstLine="0"/>
              <w:jc w:val="center"/>
            </w:pPr>
            <w:r w:rsidRPr="004825BB">
              <w:t>83.2 ± 7.1 (81.6–84.8)</w:t>
            </w:r>
          </w:p>
        </w:tc>
      </w:tr>
      <w:tr w:rsidR="00DD0707" w:rsidRPr="004825BB" w14:paraId="0DBAAFA2" w14:textId="77777777" w:rsidTr="00DD0707">
        <w:trPr>
          <w:trHeight w:val="143"/>
        </w:trPr>
        <w:tc>
          <w:tcPr>
            <w:tcW w:w="3366" w:type="dxa"/>
            <w:tcBorders>
              <w:left w:val="nil"/>
              <w:bottom w:val="nil"/>
              <w:right w:val="nil"/>
            </w:tcBorders>
            <w:shd w:val="clear" w:color="auto" w:fill="auto"/>
            <w:vAlign w:val="center"/>
          </w:tcPr>
          <w:p w14:paraId="373EBA7B" w14:textId="77777777" w:rsidR="00DD0707" w:rsidRPr="004825BB" w:rsidRDefault="00DD0707" w:rsidP="000315FA">
            <w:pPr>
              <w:pStyle w:val="MDPI31text"/>
              <w:autoSpaceDE w:val="0"/>
              <w:autoSpaceDN w:val="0"/>
              <w:spacing w:line="240" w:lineRule="auto"/>
              <w:ind w:left="0" w:firstLine="0"/>
              <w:jc w:val="left"/>
            </w:pPr>
            <w:r w:rsidRPr="004825BB">
              <w:t>Sex</w:t>
            </w:r>
          </w:p>
        </w:tc>
        <w:tc>
          <w:tcPr>
            <w:tcW w:w="4491" w:type="dxa"/>
            <w:gridSpan w:val="2"/>
            <w:tcBorders>
              <w:left w:val="nil"/>
              <w:bottom w:val="nil"/>
              <w:right w:val="nil"/>
            </w:tcBorders>
            <w:shd w:val="clear" w:color="auto" w:fill="auto"/>
            <w:vAlign w:val="center"/>
          </w:tcPr>
          <w:p w14:paraId="7C84CD08" w14:textId="77777777" w:rsidR="00DD0707" w:rsidRPr="004825BB" w:rsidRDefault="00DD0707" w:rsidP="000315FA">
            <w:pPr>
              <w:pStyle w:val="MDPI31text"/>
              <w:autoSpaceDE w:val="0"/>
              <w:autoSpaceDN w:val="0"/>
              <w:spacing w:line="240" w:lineRule="auto"/>
              <w:ind w:left="0" w:firstLine="0"/>
              <w:jc w:val="center"/>
            </w:pPr>
          </w:p>
        </w:tc>
      </w:tr>
      <w:tr w:rsidR="00DD0707" w:rsidRPr="004825BB" w14:paraId="13EC0576" w14:textId="77777777" w:rsidTr="00DD0707">
        <w:trPr>
          <w:trHeight w:val="142"/>
        </w:trPr>
        <w:tc>
          <w:tcPr>
            <w:tcW w:w="3366" w:type="dxa"/>
            <w:tcBorders>
              <w:top w:val="nil"/>
              <w:left w:val="nil"/>
              <w:bottom w:val="nil"/>
              <w:right w:val="nil"/>
            </w:tcBorders>
            <w:shd w:val="clear" w:color="auto" w:fill="auto"/>
            <w:vAlign w:val="center"/>
          </w:tcPr>
          <w:p w14:paraId="4DF099EA" w14:textId="77777777" w:rsidR="00DD0707" w:rsidRPr="004825BB" w:rsidRDefault="00DD0707" w:rsidP="00DD0707">
            <w:pPr>
              <w:pStyle w:val="MDPI31text"/>
              <w:autoSpaceDE w:val="0"/>
              <w:autoSpaceDN w:val="0"/>
              <w:spacing w:line="240" w:lineRule="auto"/>
              <w:ind w:left="170" w:firstLine="0"/>
              <w:jc w:val="left"/>
            </w:pPr>
            <w:r w:rsidRPr="004825BB">
              <w:t>Male</w:t>
            </w:r>
          </w:p>
        </w:tc>
        <w:tc>
          <w:tcPr>
            <w:tcW w:w="4491" w:type="dxa"/>
            <w:gridSpan w:val="2"/>
            <w:tcBorders>
              <w:top w:val="nil"/>
              <w:left w:val="nil"/>
              <w:bottom w:val="nil"/>
              <w:right w:val="nil"/>
            </w:tcBorders>
            <w:shd w:val="clear" w:color="auto" w:fill="auto"/>
            <w:vAlign w:val="center"/>
          </w:tcPr>
          <w:p w14:paraId="224D8B76" w14:textId="77777777" w:rsidR="00DD0707" w:rsidRPr="004825BB" w:rsidRDefault="00DD0707" w:rsidP="000315FA">
            <w:pPr>
              <w:pStyle w:val="MDPI31text"/>
              <w:autoSpaceDE w:val="0"/>
              <w:autoSpaceDN w:val="0"/>
              <w:spacing w:line="240" w:lineRule="auto"/>
              <w:ind w:left="0" w:firstLine="0"/>
              <w:jc w:val="center"/>
            </w:pPr>
            <w:r w:rsidRPr="004825BB">
              <w:t>33 [42.3%] (31.2–54.0)</w:t>
            </w:r>
          </w:p>
        </w:tc>
      </w:tr>
      <w:tr w:rsidR="00DD0707" w:rsidRPr="004825BB" w14:paraId="130C640E" w14:textId="77777777" w:rsidTr="00DD0707">
        <w:trPr>
          <w:trHeight w:val="142"/>
        </w:trPr>
        <w:tc>
          <w:tcPr>
            <w:tcW w:w="3366" w:type="dxa"/>
            <w:tcBorders>
              <w:top w:val="nil"/>
              <w:left w:val="nil"/>
              <w:right w:val="nil"/>
            </w:tcBorders>
            <w:shd w:val="clear" w:color="auto" w:fill="auto"/>
            <w:vAlign w:val="center"/>
          </w:tcPr>
          <w:p w14:paraId="609A404E" w14:textId="77777777" w:rsidR="00DD0707" w:rsidRPr="004825BB" w:rsidRDefault="00DD0707" w:rsidP="00DD0707">
            <w:pPr>
              <w:pStyle w:val="MDPI31text"/>
              <w:autoSpaceDE w:val="0"/>
              <w:autoSpaceDN w:val="0"/>
              <w:spacing w:line="240" w:lineRule="auto"/>
              <w:ind w:left="170" w:firstLine="0"/>
              <w:jc w:val="left"/>
            </w:pPr>
            <w:r w:rsidRPr="004825BB">
              <w:t>Female</w:t>
            </w:r>
          </w:p>
        </w:tc>
        <w:tc>
          <w:tcPr>
            <w:tcW w:w="4491" w:type="dxa"/>
            <w:gridSpan w:val="2"/>
            <w:tcBorders>
              <w:top w:val="nil"/>
              <w:left w:val="nil"/>
              <w:right w:val="nil"/>
            </w:tcBorders>
            <w:shd w:val="clear" w:color="auto" w:fill="auto"/>
            <w:vAlign w:val="center"/>
          </w:tcPr>
          <w:p w14:paraId="18A1D245" w14:textId="77777777" w:rsidR="00DD0707" w:rsidRPr="004825BB" w:rsidRDefault="00DD0707" w:rsidP="000315FA">
            <w:pPr>
              <w:pStyle w:val="MDPI31text"/>
              <w:autoSpaceDE w:val="0"/>
              <w:autoSpaceDN w:val="0"/>
              <w:spacing w:line="240" w:lineRule="auto"/>
              <w:ind w:left="0" w:firstLine="0"/>
              <w:jc w:val="center"/>
            </w:pPr>
            <w:r w:rsidRPr="004825BB">
              <w:t>45 [57.7%] (46–68.8)</w:t>
            </w:r>
          </w:p>
        </w:tc>
      </w:tr>
      <w:tr w:rsidR="00DD0707" w:rsidRPr="004825BB" w14:paraId="5E57668F" w14:textId="77777777" w:rsidTr="00DD0707">
        <w:trPr>
          <w:trHeight w:val="144"/>
        </w:trPr>
        <w:tc>
          <w:tcPr>
            <w:tcW w:w="3366" w:type="dxa"/>
            <w:tcBorders>
              <w:left w:val="nil"/>
              <w:bottom w:val="nil"/>
              <w:right w:val="nil"/>
            </w:tcBorders>
            <w:shd w:val="clear" w:color="auto" w:fill="auto"/>
            <w:vAlign w:val="center"/>
          </w:tcPr>
          <w:p w14:paraId="5D672F65" w14:textId="77777777" w:rsidR="00DD0707" w:rsidRPr="004825BB" w:rsidRDefault="00DD0707" w:rsidP="000315FA">
            <w:pPr>
              <w:pStyle w:val="MDPI31text"/>
              <w:autoSpaceDE w:val="0"/>
              <w:autoSpaceDN w:val="0"/>
              <w:spacing w:line="240" w:lineRule="auto"/>
              <w:ind w:left="0" w:firstLine="0"/>
              <w:jc w:val="left"/>
            </w:pPr>
            <w:r w:rsidRPr="004825BB">
              <w:t>Living conditions:</w:t>
            </w:r>
          </w:p>
        </w:tc>
        <w:tc>
          <w:tcPr>
            <w:tcW w:w="2370" w:type="dxa"/>
            <w:tcBorders>
              <w:left w:val="nil"/>
              <w:bottom w:val="nil"/>
              <w:right w:val="nil"/>
            </w:tcBorders>
            <w:shd w:val="clear" w:color="auto" w:fill="auto"/>
            <w:vAlign w:val="center"/>
          </w:tcPr>
          <w:p w14:paraId="5A922C60" w14:textId="77777777" w:rsidR="00DD0707" w:rsidRPr="004825BB" w:rsidRDefault="00DD0707" w:rsidP="000315FA">
            <w:pPr>
              <w:pStyle w:val="MDPI31text"/>
              <w:autoSpaceDE w:val="0"/>
              <w:autoSpaceDN w:val="0"/>
              <w:spacing w:line="240" w:lineRule="auto"/>
              <w:ind w:left="0" w:firstLine="0"/>
              <w:jc w:val="center"/>
            </w:pPr>
          </w:p>
        </w:tc>
        <w:tc>
          <w:tcPr>
            <w:tcW w:w="2121" w:type="dxa"/>
            <w:tcBorders>
              <w:left w:val="nil"/>
              <w:bottom w:val="nil"/>
              <w:right w:val="nil"/>
            </w:tcBorders>
            <w:shd w:val="clear" w:color="auto" w:fill="auto"/>
            <w:vAlign w:val="center"/>
          </w:tcPr>
          <w:p w14:paraId="34BD544A" w14:textId="77777777" w:rsidR="00DD0707" w:rsidRPr="004825BB" w:rsidRDefault="00DD0707" w:rsidP="000315FA">
            <w:pPr>
              <w:pStyle w:val="MDPI31text"/>
              <w:autoSpaceDE w:val="0"/>
              <w:autoSpaceDN w:val="0"/>
              <w:spacing w:line="240" w:lineRule="auto"/>
              <w:ind w:left="0" w:firstLine="0"/>
              <w:jc w:val="center"/>
            </w:pPr>
          </w:p>
        </w:tc>
      </w:tr>
      <w:tr w:rsidR="00DD0707" w:rsidRPr="004825BB" w14:paraId="3C9207FE" w14:textId="77777777" w:rsidTr="00DD0707">
        <w:trPr>
          <w:trHeight w:val="142"/>
        </w:trPr>
        <w:tc>
          <w:tcPr>
            <w:tcW w:w="3366" w:type="dxa"/>
            <w:tcBorders>
              <w:top w:val="nil"/>
              <w:left w:val="nil"/>
              <w:bottom w:val="nil"/>
              <w:right w:val="nil"/>
            </w:tcBorders>
            <w:shd w:val="clear" w:color="auto" w:fill="auto"/>
            <w:vAlign w:val="center"/>
          </w:tcPr>
          <w:p w14:paraId="5A066752" w14:textId="77777777" w:rsidR="00DD0707" w:rsidRPr="004825BB" w:rsidRDefault="00DD0707" w:rsidP="00DD0707">
            <w:pPr>
              <w:pStyle w:val="MDPI31text"/>
              <w:autoSpaceDE w:val="0"/>
              <w:autoSpaceDN w:val="0"/>
              <w:spacing w:line="240" w:lineRule="auto"/>
              <w:ind w:left="170" w:firstLine="0"/>
              <w:jc w:val="left"/>
            </w:pPr>
            <w:r w:rsidRPr="004825BB">
              <w:t>The patient lives alone</w:t>
            </w:r>
          </w:p>
        </w:tc>
        <w:tc>
          <w:tcPr>
            <w:tcW w:w="2370" w:type="dxa"/>
            <w:tcBorders>
              <w:top w:val="nil"/>
              <w:left w:val="nil"/>
              <w:bottom w:val="nil"/>
              <w:right w:val="nil"/>
            </w:tcBorders>
            <w:shd w:val="clear" w:color="auto" w:fill="auto"/>
            <w:vAlign w:val="center"/>
          </w:tcPr>
          <w:p w14:paraId="42B699CB" w14:textId="77777777" w:rsidR="00DD0707" w:rsidRPr="004825BB" w:rsidRDefault="00DD0707" w:rsidP="000315FA">
            <w:pPr>
              <w:pStyle w:val="MDPI31text"/>
              <w:autoSpaceDE w:val="0"/>
              <w:autoSpaceDN w:val="0"/>
              <w:spacing w:line="240" w:lineRule="auto"/>
              <w:ind w:left="0" w:firstLine="0"/>
              <w:jc w:val="center"/>
            </w:pPr>
            <w:r w:rsidRPr="004825BB">
              <w:t>23 [29.5%] (19.7–40.9)</w:t>
            </w:r>
          </w:p>
        </w:tc>
        <w:tc>
          <w:tcPr>
            <w:tcW w:w="2121" w:type="dxa"/>
            <w:tcBorders>
              <w:top w:val="nil"/>
              <w:left w:val="nil"/>
              <w:bottom w:val="nil"/>
              <w:right w:val="nil"/>
            </w:tcBorders>
            <w:shd w:val="clear" w:color="auto" w:fill="auto"/>
            <w:vAlign w:val="center"/>
          </w:tcPr>
          <w:p w14:paraId="7236D4E3" w14:textId="77777777" w:rsidR="00DD0707" w:rsidRPr="004825BB" w:rsidRDefault="00DD0707" w:rsidP="000315FA">
            <w:pPr>
              <w:pStyle w:val="MDPI31text"/>
              <w:autoSpaceDE w:val="0"/>
              <w:autoSpaceDN w:val="0"/>
              <w:spacing w:line="240" w:lineRule="auto"/>
              <w:ind w:left="0" w:firstLine="0"/>
              <w:jc w:val="center"/>
            </w:pPr>
            <w:r w:rsidRPr="004825BB">
              <w:t>20 [25.6%] (16.4–36.8)</w:t>
            </w:r>
          </w:p>
        </w:tc>
      </w:tr>
      <w:tr w:rsidR="00DD0707" w:rsidRPr="004825BB" w14:paraId="12DB3D64" w14:textId="77777777" w:rsidTr="00DD0707">
        <w:trPr>
          <w:trHeight w:val="142"/>
        </w:trPr>
        <w:tc>
          <w:tcPr>
            <w:tcW w:w="3366" w:type="dxa"/>
            <w:tcBorders>
              <w:top w:val="nil"/>
              <w:left w:val="nil"/>
              <w:bottom w:val="nil"/>
              <w:right w:val="nil"/>
            </w:tcBorders>
            <w:shd w:val="clear" w:color="auto" w:fill="auto"/>
            <w:vAlign w:val="center"/>
          </w:tcPr>
          <w:p w14:paraId="49497B1B" w14:textId="77777777" w:rsidR="00DD0707" w:rsidRPr="004825BB" w:rsidRDefault="00DD0707" w:rsidP="00DD0707">
            <w:pPr>
              <w:pStyle w:val="MDPI31text"/>
              <w:autoSpaceDE w:val="0"/>
              <w:autoSpaceDN w:val="0"/>
              <w:spacing w:line="240" w:lineRule="auto"/>
              <w:ind w:left="170" w:firstLine="0"/>
              <w:jc w:val="left"/>
            </w:pPr>
            <w:r w:rsidRPr="004825BB">
              <w:lastRenderedPageBreak/>
              <w:t>The patient lives with his or her family</w:t>
            </w:r>
          </w:p>
        </w:tc>
        <w:tc>
          <w:tcPr>
            <w:tcW w:w="2370" w:type="dxa"/>
            <w:tcBorders>
              <w:top w:val="nil"/>
              <w:left w:val="nil"/>
              <w:bottom w:val="nil"/>
              <w:right w:val="nil"/>
            </w:tcBorders>
            <w:shd w:val="clear" w:color="auto" w:fill="auto"/>
            <w:vAlign w:val="center"/>
          </w:tcPr>
          <w:p w14:paraId="2304A0DD" w14:textId="77777777" w:rsidR="00DD0707" w:rsidRPr="004825BB" w:rsidRDefault="00DD0707" w:rsidP="000315FA">
            <w:pPr>
              <w:pStyle w:val="MDPI31text"/>
              <w:autoSpaceDE w:val="0"/>
              <w:autoSpaceDN w:val="0"/>
              <w:spacing w:line="240" w:lineRule="auto"/>
              <w:ind w:left="0" w:firstLine="0"/>
              <w:jc w:val="center"/>
            </w:pPr>
            <w:r w:rsidRPr="004825BB">
              <w:t>54 [69.2%] (57.8–79.2)</w:t>
            </w:r>
          </w:p>
        </w:tc>
        <w:tc>
          <w:tcPr>
            <w:tcW w:w="2121" w:type="dxa"/>
            <w:tcBorders>
              <w:top w:val="nil"/>
              <w:left w:val="nil"/>
              <w:bottom w:val="nil"/>
              <w:right w:val="nil"/>
            </w:tcBorders>
            <w:shd w:val="clear" w:color="auto" w:fill="auto"/>
            <w:vAlign w:val="center"/>
          </w:tcPr>
          <w:p w14:paraId="039C00E7" w14:textId="77777777" w:rsidR="00DD0707" w:rsidRPr="004825BB" w:rsidRDefault="00DD0707" w:rsidP="000315FA">
            <w:pPr>
              <w:pStyle w:val="MDPI31text"/>
              <w:autoSpaceDE w:val="0"/>
              <w:autoSpaceDN w:val="0"/>
              <w:spacing w:line="240" w:lineRule="auto"/>
              <w:ind w:left="0" w:firstLine="0"/>
              <w:jc w:val="center"/>
            </w:pPr>
            <w:r w:rsidRPr="004825BB">
              <w:t>55 [70.5%] (59.1–80.3)</w:t>
            </w:r>
          </w:p>
        </w:tc>
      </w:tr>
      <w:tr w:rsidR="00DD0707" w:rsidRPr="004825BB" w14:paraId="30868560" w14:textId="77777777" w:rsidTr="00DD0707">
        <w:trPr>
          <w:trHeight w:val="142"/>
        </w:trPr>
        <w:tc>
          <w:tcPr>
            <w:tcW w:w="3366" w:type="dxa"/>
            <w:tcBorders>
              <w:top w:val="nil"/>
              <w:left w:val="nil"/>
              <w:bottom w:val="nil"/>
              <w:right w:val="nil"/>
            </w:tcBorders>
            <w:shd w:val="clear" w:color="auto" w:fill="auto"/>
            <w:vAlign w:val="center"/>
          </w:tcPr>
          <w:p w14:paraId="7FCEE3E4" w14:textId="77777777" w:rsidR="00DD0707" w:rsidRPr="004825BB" w:rsidRDefault="00DD0707" w:rsidP="00DD0707">
            <w:pPr>
              <w:pStyle w:val="MDPI31text"/>
              <w:autoSpaceDE w:val="0"/>
              <w:autoSpaceDN w:val="0"/>
              <w:spacing w:line="240" w:lineRule="auto"/>
              <w:ind w:left="170" w:firstLine="0"/>
              <w:jc w:val="left"/>
            </w:pPr>
            <w:r w:rsidRPr="004825BB">
              <w:t>The patient lives in a nursing home</w:t>
            </w:r>
          </w:p>
        </w:tc>
        <w:tc>
          <w:tcPr>
            <w:tcW w:w="2370" w:type="dxa"/>
            <w:tcBorders>
              <w:top w:val="nil"/>
              <w:left w:val="nil"/>
              <w:bottom w:val="nil"/>
              <w:right w:val="nil"/>
            </w:tcBorders>
            <w:shd w:val="clear" w:color="auto" w:fill="auto"/>
            <w:vAlign w:val="center"/>
          </w:tcPr>
          <w:p w14:paraId="3F09955E" w14:textId="77777777" w:rsidR="00DD0707" w:rsidRPr="004825BB" w:rsidRDefault="00DD0707" w:rsidP="000315FA">
            <w:pPr>
              <w:pStyle w:val="MDPI31text"/>
              <w:autoSpaceDE w:val="0"/>
              <w:autoSpaceDN w:val="0"/>
              <w:spacing w:line="240" w:lineRule="auto"/>
              <w:ind w:left="0" w:firstLine="0"/>
              <w:jc w:val="center"/>
            </w:pPr>
            <w:r w:rsidRPr="004825BB">
              <w:t>0 [0%] (0–4.6)</w:t>
            </w:r>
          </w:p>
        </w:tc>
        <w:tc>
          <w:tcPr>
            <w:tcW w:w="2121" w:type="dxa"/>
            <w:tcBorders>
              <w:top w:val="nil"/>
              <w:left w:val="nil"/>
              <w:bottom w:val="nil"/>
              <w:right w:val="nil"/>
            </w:tcBorders>
            <w:shd w:val="clear" w:color="auto" w:fill="auto"/>
            <w:vAlign w:val="center"/>
          </w:tcPr>
          <w:p w14:paraId="6DB41495" w14:textId="77777777" w:rsidR="00DD0707" w:rsidRPr="004825BB" w:rsidRDefault="00DD0707" w:rsidP="000315FA">
            <w:pPr>
              <w:pStyle w:val="MDPI31text"/>
              <w:autoSpaceDE w:val="0"/>
              <w:autoSpaceDN w:val="0"/>
              <w:spacing w:line="240" w:lineRule="auto"/>
              <w:ind w:left="0" w:firstLine="0"/>
              <w:jc w:val="center"/>
            </w:pPr>
            <w:r w:rsidRPr="004825BB">
              <w:t>2 [2.6%] (0.3–9.0)</w:t>
            </w:r>
          </w:p>
        </w:tc>
      </w:tr>
      <w:tr w:rsidR="00DD0707" w:rsidRPr="004825BB" w14:paraId="0C44A725" w14:textId="77777777" w:rsidTr="00DD0707">
        <w:trPr>
          <w:trHeight w:val="142"/>
        </w:trPr>
        <w:tc>
          <w:tcPr>
            <w:tcW w:w="3366" w:type="dxa"/>
            <w:tcBorders>
              <w:top w:val="nil"/>
              <w:left w:val="nil"/>
              <w:right w:val="nil"/>
            </w:tcBorders>
            <w:shd w:val="clear" w:color="auto" w:fill="auto"/>
            <w:vAlign w:val="center"/>
          </w:tcPr>
          <w:p w14:paraId="33B7876C" w14:textId="77777777" w:rsidR="00DD0707" w:rsidRPr="004825BB" w:rsidRDefault="00DD0707" w:rsidP="00DD0707">
            <w:pPr>
              <w:pStyle w:val="MDPI31text"/>
              <w:autoSpaceDE w:val="0"/>
              <w:autoSpaceDN w:val="0"/>
              <w:spacing w:line="240" w:lineRule="auto"/>
              <w:ind w:left="170" w:firstLine="0"/>
              <w:jc w:val="left"/>
            </w:pPr>
            <w:r w:rsidRPr="004825BB">
              <w:t>Other (the patient lives with a friend)</w:t>
            </w:r>
          </w:p>
        </w:tc>
        <w:tc>
          <w:tcPr>
            <w:tcW w:w="2370" w:type="dxa"/>
            <w:tcBorders>
              <w:top w:val="nil"/>
              <w:left w:val="nil"/>
              <w:right w:val="nil"/>
            </w:tcBorders>
            <w:shd w:val="clear" w:color="auto" w:fill="auto"/>
            <w:vAlign w:val="center"/>
          </w:tcPr>
          <w:p w14:paraId="22D30205" w14:textId="77777777" w:rsidR="00DD0707" w:rsidRPr="004825BB" w:rsidRDefault="00DD0707" w:rsidP="000315FA">
            <w:pPr>
              <w:pStyle w:val="MDPI31text"/>
              <w:autoSpaceDE w:val="0"/>
              <w:autoSpaceDN w:val="0"/>
              <w:spacing w:line="240" w:lineRule="auto"/>
              <w:ind w:left="0" w:firstLine="0"/>
              <w:jc w:val="center"/>
            </w:pPr>
            <w:r w:rsidRPr="004825BB">
              <w:t>1 [1.3%] (0–6.9)</w:t>
            </w:r>
          </w:p>
        </w:tc>
        <w:tc>
          <w:tcPr>
            <w:tcW w:w="2121" w:type="dxa"/>
            <w:tcBorders>
              <w:top w:val="nil"/>
              <w:left w:val="nil"/>
              <w:right w:val="nil"/>
            </w:tcBorders>
            <w:shd w:val="clear" w:color="auto" w:fill="auto"/>
            <w:vAlign w:val="center"/>
          </w:tcPr>
          <w:p w14:paraId="14012DBF" w14:textId="77777777" w:rsidR="00DD0707" w:rsidRPr="004825BB" w:rsidRDefault="00DD0707" w:rsidP="000315FA">
            <w:pPr>
              <w:pStyle w:val="MDPI31text"/>
              <w:autoSpaceDE w:val="0"/>
              <w:autoSpaceDN w:val="0"/>
              <w:spacing w:line="240" w:lineRule="auto"/>
              <w:ind w:left="0" w:firstLine="0"/>
              <w:jc w:val="center"/>
            </w:pPr>
            <w:r w:rsidRPr="004825BB">
              <w:t>1 [1.3%] (0.0–6.9)</w:t>
            </w:r>
          </w:p>
        </w:tc>
      </w:tr>
      <w:tr w:rsidR="007522FF" w:rsidRPr="004825BB" w14:paraId="461588E0" w14:textId="77777777" w:rsidTr="000315FA">
        <w:tc>
          <w:tcPr>
            <w:tcW w:w="3366" w:type="dxa"/>
            <w:tcBorders>
              <w:left w:val="nil"/>
              <w:right w:val="nil"/>
            </w:tcBorders>
            <w:shd w:val="clear" w:color="auto" w:fill="auto"/>
            <w:vAlign w:val="center"/>
          </w:tcPr>
          <w:p w14:paraId="40CCF71B" w14:textId="77777777" w:rsidR="007522FF" w:rsidRPr="004825BB" w:rsidRDefault="007522FF" w:rsidP="000315FA">
            <w:pPr>
              <w:pStyle w:val="MDPI31text"/>
              <w:autoSpaceDE w:val="0"/>
              <w:autoSpaceDN w:val="0"/>
              <w:spacing w:line="240" w:lineRule="auto"/>
              <w:ind w:left="0" w:firstLine="0"/>
              <w:jc w:val="left"/>
            </w:pPr>
            <w:r w:rsidRPr="004825BB">
              <w:t>Time from the beginning of the treatment (months)</w:t>
            </w:r>
          </w:p>
        </w:tc>
        <w:tc>
          <w:tcPr>
            <w:tcW w:w="2370" w:type="dxa"/>
            <w:tcBorders>
              <w:left w:val="nil"/>
              <w:right w:val="nil"/>
            </w:tcBorders>
            <w:shd w:val="clear" w:color="auto" w:fill="auto"/>
            <w:vAlign w:val="center"/>
          </w:tcPr>
          <w:p w14:paraId="12309749" w14:textId="77777777" w:rsidR="007522FF" w:rsidRPr="004825BB" w:rsidRDefault="007522FF" w:rsidP="000315FA">
            <w:pPr>
              <w:pStyle w:val="MDPI31text"/>
              <w:autoSpaceDE w:val="0"/>
              <w:autoSpaceDN w:val="0"/>
              <w:spacing w:line="240" w:lineRule="auto"/>
              <w:ind w:left="0" w:firstLine="0"/>
              <w:jc w:val="center"/>
            </w:pPr>
            <w:r w:rsidRPr="004825BB">
              <w:t>44.6 ± 26.6 [38.7–50.6]</w:t>
            </w:r>
          </w:p>
        </w:tc>
        <w:tc>
          <w:tcPr>
            <w:tcW w:w="2121" w:type="dxa"/>
            <w:tcBorders>
              <w:left w:val="nil"/>
              <w:right w:val="nil"/>
            </w:tcBorders>
            <w:shd w:val="clear" w:color="auto" w:fill="auto"/>
            <w:vAlign w:val="center"/>
          </w:tcPr>
          <w:p w14:paraId="6D288224" w14:textId="77777777" w:rsidR="007522FF" w:rsidRPr="004825BB" w:rsidRDefault="007522FF" w:rsidP="000315FA">
            <w:pPr>
              <w:pStyle w:val="MDPI31text"/>
              <w:autoSpaceDE w:val="0"/>
              <w:autoSpaceDN w:val="0"/>
              <w:spacing w:line="240" w:lineRule="auto"/>
              <w:ind w:left="0" w:firstLine="0"/>
              <w:jc w:val="center"/>
            </w:pPr>
            <w:r w:rsidRPr="004825BB">
              <w:t>74.6 ± 27.1 [67.9–81.3]</w:t>
            </w:r>
          </w:p>
        </w:tc>
      </w:tr>
      <w:tr w:rsidR="007522FF" w:rsidRPr="004825BB" w14:paraId="1A35C527" w14:textId="77777777" w:rsidTr="000315FA">
        <w:tc>
          <w:tcPr>
            <w:tcW w:w="3366" w:type="dxa"/>
            <w:tcBorders>
              <w:left w:val="nil"/>
              <w:right w:val="nil"/>
            </w:tcBorders>
            <w:shd w:val="clear" w:color="auto" w:fill="auto"/>
            <w:vAlign w:val="center"/>
          </w:tcPr>
          <w:p w14:paraId="4330E57F" w14:textId="77777777" w:rsidR="007522FF" w:rsidRPr="004825BB" w:rsidRDefault="007522FF" w:rsidP="000315FA">
            <w:pPr>
              <w:pStyle w:val="MDPI31text"/>
              <w:autoSpaceDE w:val="0"/>
              <w:autoSpaceDN w:val="0"/>
              <w:spacing w:line="240" w:lineRule="auto"/>
              <w:ind w:left="0" w:firstLine="0"/>
              <w:jc w:val="left"/>
            </w:pPr>
            <w:r w:rsidRPr="004825BB">
              <w:t>Number of intravitreal injections applied per patient</w:t>
            </w:r>
          </w:p>
        </w:tc>
        <w:tc>
          <w:tcPr>
            <w:tcW w:w="2370" w:type="dxa"/>
            <w:tcBorders>
              <w:left w:val="nil"/>
              <w:right w:val="nil"/>
            </w:tcBorders>
            <w:shd w:val="clear" w:color="auto" w:fill="auto"/>
            <w:vAlign w:val="center"/>
          </w:tcPr>
          <w:p w14:paraId="45E11719" w14:textId="77777777" w:rsidR="007522FF" w:rsidRPr="004825BB" w:rsidRDefault="007522FF" w:rsidP="000315FA">
            <w:pPr>
              <w:pStyle w:val="MDPI31text"/>
              <w:autoSpaceDE w:val="0"/>
              <w:autoSpaceDN w:val="0"/>
              <w:spacing w:line="240" w:lineRule="auto"/>
              <w:ind w:left="0" w:firstLine="0"/>
              <w:jc w:val="center"/>
            </w:pPr>
            <w:r w:rsidRPr="004825BB">
              <w:t>23.4 ± 13.3 [20.4–26.4]</w:t>
            </w:r>
          </w:p>
        </w:tc>
        <w:tc>
          <w:tcPr>
            <w:tcW w:w="2121" w:type="dxa"/>
            <w:tcBorders>
              <w:left w:val="nil"/>
              <w:right w:val="nil"/>
            </w:tcBorders>
            <w:shd w:val="clear" w:color="auto" w:fill="auto"/>
            <w:vAlign w:val="center"/>
          </w:tcPr>
          <w:p w14:paraId="673FEB61" w14:textId="77777777" w:rsidR="007522FF" w:rsidRPr="004825BB" w:rsidRDefault="007522FF" w:rsidP="00946195">
            <w:pPr>
              <w:pStyle w:val="MDPI31text"/>
              <w:autoSpaceDE w:val="0"/>
              <w:autoSpaceDN w:val="0"/>
              <w:spacing w:line="240" w:lineRule="auto"/>
              <w:ind w:left="0" w:firstLine="0"/>
              <w:jc w:val="center"/>
            </w:pPr>
            <w:r w:rsidRPr="004825BB">
              <w:t>38.5 ± 17.3 [34.6–42.4]</w:t>
            </w:r>
          </w:p>
        </w:tc>
      </w:tr>
      <w:tr w:rsidR="007522FF" w:rsidRPr="004825BB" w14:paraId="63904B3A" w14:textId="77777777" w:rsidTr="000315FA">
        <w:tc>
          <w:tcPr>
            <w:tcW w:w="3366" w:type="dxa"/>
            <w:tcBorders>
              <w:top w:val="single" w:sz="4" w:space="0" w:color="000000"/>
              <w:left w:val="nil"/>
              <w:bottom w:val="single" w:sz="4" w:space="0" w:color="000000"/>
              <w:right w:val="nil"/>
            </w:tcBorders>
            <w:shd w:val="clear" w:color="auto" w:fill="auto"/>
            <w:vAlign w:val="center"/>
          </w:tcPr>
          <w:p w14:paraId="1BD925A3" w14:textId="77777777" w:rsidR="007522FF" w:rsidRPr="004825BB" w:rsidRDefault="007522FF" w:rsidP="000315FA">
            <w:pPr>
              <w:pStyle w:val="MDPI31text"/>
              <w:autoSpaceDE w:val="0"/>
              <w:autoSpaceDN w:val="0"/>
              <w:spacing w:line="240" w:lineRule="auto"/>
              <w:ind w:left="0" w:firstLine="0"/>
              <w:jc w:val="left"/>
            </w:pPr>
            <w:r w:rsidRPr="004825BB">
              <w:t>BCVA of treated eyes</w:t>
            </w:r>
            <w:commentRangeStart w:id="37"/>
            <w:commentRangeStart w:id="38"/>
            <w:r w:rsidR="00DD0707" w:rsidRPr="004825BB">
              <w:rPr>
                <w:highlight w:val="yellow"/>
              </w:rPr>
              <w:t>—</w:t>
            </w:r>
            <w:commentRangeEnd w:id="37"/>
            <w:r w:rsidR="00DD0707" w:rsidRPr="004825BB">
              <w:rPr>
                <w:rStyle w:val="Refdecomentario"/>
                <w:rFonts w:eastAsia="SimSun"/>
                <w:snapToGrid/>
                <w:kern w:val="0"/>
                <w:lang w:eastAsia="zh-CN" w:bidi="ar-SA"/>
                <w14:ligatures w14:val="none"/>
              </w:rPr>
              <w:commentReference w:id="37"/>
            </w:r>
            <w:commentRangeEnd w:id="38"/>
            <w:r w:rsidR="007A006E">
              <w:rPr>
                <w:rStyle w:val="Refdecomentario"/>
                <w:rFonts w:eastAsia="SimSun"/>
                <w:snapToGrid/>
                <w:kern w:val="0"/>
                <w:lang w:eastAsia="zh-CN" w:bidi="ar-SA"/>
                <w14:ligatures w14:val="none"/>
              </w:rPr>
              <w:commentReference w:id="38"/>
            </w:r>
            <w:r w:rsidRPr="004825BB">
              <w:t>LogMAR</w:t>
            </w:r>
          </w:p>
        </w:tc>
        <w:tc>
          <w:tcPr>
            <w:tcW w:w="2370" w:type="dxa"/>
            <w:tcBorders>
              <w:top w:val="single" w:sz="4" w:space="0" w:color="000000"/>
              <w:left w:val="nil"/>
              <w:bottom w:val="single" w:sz="4" w:space="0" w:color="000000"/>
              <w:right w:val="nil"/>
            </w:tcBorders>
            <w:shd w:val="clear" w:color="auto" w:fill="auto"/>
            <w:vAlign w:val="center"/>
          </w:tcPr>
          <w:p w14:paraId="7485A817" w14:textId="77777777" w:rsidR="007522FF" w:rsidRPr="004825BB" w:rsidRDefault="007522FF" w:rsidP="000315FA">
            <w:pPr>
              <w:pStyle w:val="MDPI31text"/>
              <w:autoSpaceDE w:val="0"/>
              <w:autoSpaceDN w:val="0"/>
              <w:spacing w:line="240" w:lineRule="auto"/>
              <w:ind w:left="0" w:firstLine="0"/>
              <w:jc w:val="center"/>
            </w:pPr>
            <w:r w:rsidRPr="004825BB">
              <w:t>0.66 ±</w:t>
            </w:r>
            <w:r w:rsidR="0064583F" w:rsidRPr="004825BB">
              <w:t xml:space="preserve"> </w:t>
            </w:r>
            <w:r w:rsidRPr="004825BB">
              <w:t>0.61 [0.55–0.77]</w:t>
            </w:r>
          </w:p>
        </w:tc>
        <w:tc>
          <w:tcPr>
            <w:tcW w:w="2121" w:type="dxa"/>
            <w:tcBorders>
              <w:top w:val="single" w:sz="4" w:space="0" w:color="000000"/>
              <w:left w:val="nil"/>
              <w:bottom w:val="single" w:sz="4" w:space="0" w:color="000000"/>
              <w:right w:val="nil"/>
            </w:tcBorders>
            <w:shd w:val="clear" w:color="auto" w:fill="auto"/>
            <w:vAlign w:val="center"/>
          </w:tcPr>
          <w:p w14:paraId="468E7E4E" w14:textId="77777777" w:rsidR="007522FF" w:rsidRPr="004825BB" w:rsidRDefault="007522FF" w:rsidP="000315FA">
            <w:pPr>
              <w:pStyle w:val="MDPI31text"/>
              <w:autoSpaceDE w:val="0"/>
              <w:autoSpaceDN w:val="0"/>
              <w:spacing w:line="240" w:lineRule="auto"/>
              <w:ind w:left="0" w:firstLine="0"/>
              <w:jc w:val="center"/>
            </w:pPr>
            <w:r w:rsidRPr="004825BB">
              <w:t>0.77 ±</w:t>
            </w:r>
            <w:r w:rsidR="0064583F" w:rsidRPr="004825BB">
              <w:t xml:space="preserve"> </w:t>
            </w:r>
            <w:r w:rsidRPr="004825BB">
              <w:t>0.83 [0.63–0.92]</w:t>
            </w:r>
          </w:p>
        </w:tc>
      </w:tr>
      <w:tr w:rsidR="00DD0707" w:rsidRPr="004825BB" w14:paraId="18105816" w14:textId="77777777" w:rsidTr="00DD0707">
        <w:trPr>
          <w:trHeight w:val="145"/>
        </w:trPr>
        <w:tc>
          <w:tcPr>
            <w:tcW w:w="3366" w:type="dxa"/>
            <w:tcBorders>
              <w:top w:val="single" w:sz="4" w:space="0" w:color="000000"/>
              <w:left w:val="nil"/>
              <w:bottom w:val="nil"/>
              <w:right w:val="nil"/>
            </w:tcBorders>
            <w:shd w:val="clear" w:color="auto" w:fill="auto"/>
            <w:vAlign w:val="center"/>
          </w:tcPr>
          <w:p w14:paraId="31A2E88E" w14:textId="77777777" w:rsidR="00DD0707" w:rsidRPr="004825BB" w:rsidRDefault="00DD0707" w:rsidP="000315FA">
            <w:pPr>
              <w:pStyle w:val="MDPI31text"/>
              <w:autoSpaceDE w:val="0"/>
              <w:autoSpaceDN w:val="0"/>
              <w:spacing w:line="240" w:lineRule="auto"/>
              <w:ind w:left="0" w:firstLine="0"/>
              <w:jc w:val="left"/>
            </w:pPr>
            <w:r w:rsidRPr="004825BB">
              <w:t>Visual impairment *</w:t>
            </w:r>
          </w:p>
        </w:tc>
        <w:tc>
          <w:tcPr>
            <w:tcW w:w="2370" w:type="dxa"/>
            <w:tcBorders>
              <w:top w:val="single" w:sz="4" w:space="0" w:color="000000"/>
              <w:left w:val="nil"/>
              <w:bottom w:val="nil"/>
              <w:right w:val="nil"/>
            </w:tcBorders>
            <w:shd w:val="clear" w:color="auto" w:fill="auto"/>
            <w:vAlign w:val="center"/>
          </w:tcPr>
          <w:p w14:paraId="51C06C6C" w14:textId="77777777" w:rsidR="00DD0707" w:rsidRPr="004825BB" w:rsidRDefault="00DD0707" w:rsidP="000315FA">
            <w:pPr>
              <w:pStyle w:val="MDPI31text"/>
              <w:autoSpaceDE w:val="0"/>
              <w:autoSpaceDN w:val="0"/>
              <w:spacing w:line="240" w:lineRule="auto"/>
              <w:ind w:left="0" w:firstLine="0"/>
              <w:jc w:val="center"/>
            </w:pPr>
          </w:p>
        </w:tc>
        <w:tc>
          <w:tcPr>
            <w:tcW w:w="2121" w:type="dxa"/>
            <w:tcBorders>
              <w:top w:val="single" w:sz="4" w:space="0" w:color="000000"/>
              <w:left w:val="nil"/>
              <w:bottom w:val="nil"/>
              <w:right w:val="nil"/>
            </w:tcBorders>
            <w:shd w:val="clear" w:color="auto" w:fill="auto"/>
            <w:vAlign w:val="center"/>
          </w:tcPr>
          <w:p w14:paraId="5E0C4718" w14:textId="77777777" w:rsidR="00DD0707" w:rsidRPr="004825BB" w:rsidRDefault="00DD0707" w:rsidP="000315FA">
            <w:pPr>
              <w:pStyle w:val="MDPI31text"/>
              <w:autoSpaceDE w:val="0"/>
              <w:autoSpaceDN w:val="0"/>
              <w:spacing w:line="240" w:lineRule="auto"/>
              <w:ind w:left="0" w:firstLine="0"/>
              <w:jc w:val="center"/>
            </w:pPr>
          </w:p>
        </w:tc>
      </w:tr>
      <w:tr w:rsidR="00DD0707" w:rsidRPr="004825BB" w14:paraId="5A24EA38" w14:textId="77777777" w:rsidTr="00DD0707">
        <w:trPr>
          <w:trHeight w:val="142"/>
        </w:trPr>
        <w:tc>
          <w:tcPr>
            <w:tcW w:w="3366" w:type="dxa"/>
            <w:tcBorders>
              <w:top w:val="nil"/>
              <w:left w:val="nil"/>
              <w:bottom w:val="nil"/>
              <w:right w:val="nil"/>
            </w:tcBorders>
            <w:shd w:val="clear" w:color="auto" w:fill="auto"/>
            <w:vAlign w:val="center"/>
          </w:tcPr>
          <w:p w14:paraId="460FFAD7" w14:textId="77777777" w:rsidR="00DD0707" w:rsidRPr="004825BB" w:rsidRDefault="00DD0707" w:rsidP="000315FA">
            <w:pPr>
              <w:pStyle w:val="MDPI31text"/>
              <w:autoSpaceDE w:val="0"/>
              <w:autoSpaceDN w:val="0"/>
              <w:spacing w:line="240" w:lineRule="auto"/>
              <w:ind w:left="0" w:firstLine="0"/>
              <w:jc w:val="left"/>
            </w:pPr>
            <w:r w:rsidRPr="004825BB">
              <w:t>No impairment (≤0.3)</w:t>
            </w:r>
          </w:p>
        </w:tc>
        <w:tc>
          <w:tcPr>
            <w:tcW w:w="2370" w:type="dxa"/>
            <w:tcBorders>
              <w:top w:val="nil"/>
              <w:left w:val="nil"/>
              <w:bottom w:val="nil"/>
              <w:right w:val="nil"/>
            </w:tcBorders>
            <w:shd w:val="clear" w:color="auto" w:fill="auto"/>
            <w:vAlign w:val="center"/>
          </w:tcPr>
          <w:p w14:paraId="6E16E272" w14:textId="77777777" w:rsidR="00DD0707" w:rsidRPr="004825BB" w:rsidRDefault="00DD0707" w:rsidP="000315FA">
            <w:pPr>
              <w:pStyle w:val="MDPI31text"/>
              <w:autoSpaceDE w:val="0"/>
              <w:autoSpaceDN w:val="0"/>
              <w:spacing w:line="240" w:lineRule="auto"/>
              <w:ind w:left="0" w:firstLine="0"/>
              <w:jc w:val="center"/>
            </w:pPr>
            <w:r w:rsidRPr="004825BB">
              <w:t>52 [66.7%] (55.1–76.9)</w:t>
            </w:r>
          </w:p>
        </w:tc>
        <w:tc>
          <w:tcPr>
            <w:tcW w:w="2121" w:type="dxa"/>
            <w:tcBorders>
              <w:top w:val="nil"/>
              <w:left w:val="nil"/>
              <w:bottom w:val="nil"/>
              <w:right w:val="nil"/>
            </w:tcBorders>
            <w:shd w:val="clear" w:color="auto" w:fill="auto"/>
            <w:vAlign w:val="center"/>
          </w:tcPr>
          <w:p w14:paraId="7EFA0F2B" w14:textId="77777777" w:rsidR="00DD0707" w:rsidRPr="004825BB" w:rsidRDefault="00DD0707" w:rsidP="000315FA">
            <w:pPr>
              <w:pStyle w:val="MDPI31text"/>
              <w:autoSpaceDE w:val="0"/>
              <w:autoSpaceDN w:val="0"/>
              <w:spacing w:line="240" w:lineRule="auto"/>
              <w:ind w:left="0" w:firstLine="0"/>
              <w:jc w:val="center"/>
            </w:pPr>
            <w:r w:rsidRPr="004825BB">
              <w:t>52 [66.7%] (55.1–76.9)</w:t>
            </w:r>
          </w:p>
        </w:tc>
      </w:tr>
      <w:tr w:rsidR="00DD0707" w:rsidRPr="004825BB" w14:paraId="3CECE6BB" w14:textId="77777777" w:rsidTr="00DD0707">
        <w:trPr>
          <w:trHeight w:val="142"/>
        </w:trPr>
        <w:tc>
          <w:tcPr>
            <w:tcW w:w="3366" w:type="dxa"/>
            <w:tcBorders>
              <w:top w:val="nil"/>
              <w:left w:val="nil"/>
              <w:bottom w:val="nil"/>
              <w:right w:val="nil"/>
            </w:tcBorders>
            <w:shd w:val="clear" w:color="auto" w:fill="auto"/>
            <w:vAlign w:val="center"/>
          </w:tcPr>
          <w:p w14:paraId="553A3B16" w14:textId="77777777" w:rsidR="00DD0707" w:rsidRPr="004825BB" w:rsidRDefault="00DD0707" w:rsidP="000315FA">
            <w:pPr>
              <w:pStyle w:val="MDPI31text"/>
              <w:autoSpaceDE w:val="0"/>
              <w:autoSpaceDN w:val="0"/>
              <w:spacing w:line="240" w:lineRule="auto"/>
              <w:ind w:left="0" w:firstLine="0"/>
              <w:jc w:val="left"/>
            </w:pPr>
            <w:r w:rsidRPr="004825BB">
              <w:t>Mild impairment (&gt;0.3–≤0.5)</w:t>
            </w:r>
          </w:p>
        </w:tc>
        <w:tc>
          <w:tcPr>
            <w:tcW w:w="2370" w:type="dxa"/>
            <w:tcBorders>
              <w:top w:val="nil"/>
              <w:left w:val="nil"/>
              <w:bottom w:val="nil"/>
              <w:right w:val="nil"/>
            </w:tcBorders>
            <w:shd w:val="clear" w:color="auto" w:fill="auto"/>
            <w:vAlign w:val="center"/>
          </w:tcPr>
          <w:p w14:paraId="35F9A58B" w14:textId="77777777" w:rsidR="00DD0707" w:rsidRPr="004825BB" w:rsidRDefault="00DD0707" w:rsidP="000315FA">
            <w:pPr>
              <w:pStyle w:val="MDPI31text"/>
              <w:autoSpaceDE w:val="0"/>
              <w:autoSpaceDN w:val="0"/>
              <w:spacing w:line="240" w:lineRule="auto"/>
              <w:ind w:left="0" w:firstLine="0"/>
              <w:jc w:val="center"/>
            </w:pPr>
            <w:r w:rsidRPr="004825BB">
              <w:t>18 [23.1%] (14.3–34)</w:t>
            </w:r>
          </w:p>
        </w:tc>
        <w:tc>
          <w:tcPr>
            <w:tcW w:w="2121" w:type="dxa"/>
            <w:tcBorders>
              <w:top w:val="nil"/>
              <w:left w:val="nil"/>
              <w:bottom w:val="nil"/>
              <w:right w:val="nil"/>
            </w:tcBorders>
            <w:shd w:val="clear" w:color="auto" w:fill="auto"/>
            <w:vAlign w:val="center"/>
          </w:tcPr>
          <w:p w14:paraId="45508436" w14:textId="77777777" w:rsidR="00DD0707" w:rsidRPr="004825BB" w:rsidRDefault="00DD0707" w:rsidP="000315FA">
            <w:pPr>
              <w:pStyle w:val="MDPI31text"/>
              <w:autoSpaceDE w:val="0"/>
              <w:autoSpaceDN w:val="0"/>
              <w:spacing w:line="240" w:lineRule="auto"/>
              <w:ind w:left="0" w:firstLine="0"/>
              <w:jc w:val="center"/>
            </w:pPr>
            <w:r w:rsidRPr="004825BB">
              <w:t>13 [16.7%] (9.2–26.8)</w:t>
            </w:r>
          </w:p>
        </w:tc>
      </w:tr>
      <w:tr w:rsidR="00DD0707" w:rsidRPr="004825BB" w14:paraId="7FDC037D" w14:textId="77777777" w:rsidTr="00DD0707">
        <w:trPr>
          <w:trHeight w:val="142"/>
        </w:trPr>
        <w:tc>
          <w:tcPr>
            <w:tcW w:w="3366" w:type="dxa"/>
            <w:tcBorders>
              <w:top w:val="nil"/>
              <w:left w:val="nil"/>
              <w:bottom w:val="nil"/>
              <w:right w:val="nil"/>
            </w:tcBorders>
            <w:shd w:val="clear" w:color="auto" w:fill="auto"/>
            <w:vAlign w:val="center"/>
          </w:tcPr>
          <w:p w14:paraId="675C68FA" w14:textId="77777777" w:rsidR="00DD0707" w:rsidRPr="004825BB" w:rsidRDefault="00DD0707" w:rsidP="000315FA">
            <w:pPr>
              <w:pStyle w:val="MDPI31text"/>
              <w:autoSpaceDE w:val="0"/>
              <w:autoSpaceDN w:val="0"/>
              <w:spacing w:line="240" w:lineRule="auto"/>
              <w:ind w:left="0" w:firstLine="0"/>
              <w:jc w:val="left"/>
            </w:pPr>
            <w:r w:rsidRPr="004825BB">
              <w:t>Moderate impairment (&gt;0.5–≤1)</w:t>
            </w:r>
          </w:p>
        </w:tc>
        <w:tc>
          <w:tcPr>
            <w:tcW w:w="2370" w:type="dxa"/>
            <w:tcBorders>
              <w:top w:val="nil"/>
              <w:left w:val="nil"/>
              <w:bottom w:val="nil"/>
              <w:right w:val="nil"/>
            </w:tcBorders>
            <w:shd w:val="clear" w:color="auto" w:fill="auto"/>
            <w:vAlign w:val="center"/>
          </w:tcPr>
          <w:p w14:paraId="5F341EE0" w14:textId="77777777" w:rsidR="00DD0707" w:rsidRPr="004825BB" w:rsidRDefault="00DD0707" w:rsidP="000315FA">
            <w:pPr>
              <w:pStyle w:val="MDPI31text"/>
              <w:autoSpaceDE w:val="0"/>
              <w:autoSpaceDN w:val="0"/>
              <w:spacing w:line="240" w:lineRule="auto"/>
              <w:ind w:left="0" w:firstLine="0"/>
              <w:jc w:val="center"/>
            </w:pPr>
            <w:r w:rsidRPr="004825BB">
              <w:t>6 [7.7%] (2.9–16)</w:t>
            </w:r>
          </w:p>
        </w:tc>
        <w:tc>
          <w:tcPr>
            <w:tcW w:w="2121" w:type="dxa"/>
            <w:tcBorders>
              <w:top w:val="nil"/>
              <w:left w:val="nil"/>
              <w:bottom w:val="nil"/>
              <w:right w:val="nil"/>
            </w:tcBorders>
            <w:shd w:val="clear" w:color="auto" w:fill="auto"/>
            <w:vAlign w:val="center"/>
          </w:tcPr>
          <w:p w14:paraId="6D917254" w14:textId="77777777" w:rsidR="00DD0707" w:rsidRPr="004825BB" w:rsidRDefault="00DD0707" w:rsidP="000315FA">
            <w:pPr>
              <w:pStyle w:val="MDPI31text"/>
              <w:autoSpaceDE w:val="0"/>
              <w:autoSpaceDN w:val="0"/>
              <w:spacing w:line="240" w:lineRule="auto"/>
              <w:ind w:left="0" w:firstLine="0"/>
              <w:jc w:val="center"/>
            </w:pPr>
            <w:r w:rsidRPr="004825BB">
              <w:t>9 [11.5%] (5.4–20.8)</w:t>
            </w:r>
          </w:p>
        </w:tc>
      </w:tr>
      <w:tr w:rsidR="00DD0707" w:rsidRPr="004825BB" w14:paraId="1DC07776" w14:textId="77777777" w:rsidTr="00DD0707">
        <w:trPr>
          <w:trHeight w:val="142"/>
        </w:trPr>
        <w:tc>
          <w:tcPr>
            <w:tcW w:w="3366" w:type="dxa"/>
            <w:tcBorders>
              <w:top w:val="nil"/>
              <w:left w:val="nil"/>
              <w:bottom w:val="nil"/>
              <w:right w:val="nil"/>
            </w:tcBorders>
            <w:shd w:val="clear" w:color="auto" w:fill="auto"/>
            <w:vAlign w:val="center"/>
          </w:tcPr>
          <w:p w14:paraId="367EBFBB" w14:textId="77777777" w:rsidR="00DD0707" w:rsidRPr="004825BB" w:rsidRDefault="00DD0707" w:rsidP="000315FA">
            <w:pPr>
              <w:pStyle w:val="MDPI31text"/>
              <w:autoSpaceDE w:val="0"/>
              <w:autoSpaceDN w:val="0"/>
              <w:spacing w:line="240" w:lineRule="auto"/>
              <w:ind w:left="0" w:firstLine="0"/>
              <w:jc w:val="left"/>
            </w:pPr>
            <w:r w:rsidRPr="004825BB">
              <w:t>Severe impairment (1–1.3)</w:t>
            </w:r>
          </w:p>
        </w:tc>
        <w:tc>
          <w:tcPr>
            <w:tcW w:w="2370" w:type="dxa"/>
            <w:tcBorders>
              <w:top w:val="nil"/>
              <w:left w:val="nil"/>
              <w:bottom w:val="nil"/>
              <w:right w:val="nil"/>
            </w:tcBorders>
            <w:shd w:val="clear" w:color="auto" w:fill="auto"/>
            <w:vAlign w:val="center"/>
          </w:tcPr>
          <w:p w14:paraId="378E435F" w14:textId="77777777" w:rsidR="00DD0707" w:rsidRPr="004825BB" w:rsidRDefault="00DD0707" w:rsidP="000315FA">
            <w:pPr>
              <w:pStyle w:val="MDPI31text"/>
              <w:autoSpaceDE w:val="0"/>
              <w:autoSpaceDN w:val="0"/>
              <w:spacing w:line="240" w:lineRule="auto"/>
              <w:ind w:left="0" w:firstLine="0"/>
              <w:jc w:val="center"/>
            </w:pPr>
            <w:r w:rsidRPr="004825BB">
              <w:t>2 [2.6%] (0.3–9)</w:t>
            </w:r>
          </w:p>
        </w:tc>
        <w:tc>
          <w:tcPr>
            <w:tcW w:w="2121" w:type="dxa"/>
            <w:tcBorders>
              <w:top w:val="nil"/>
              <w:left w:val="nil"/>
              <w:bottom w:val="nil"/>
              <w:right w:val="nil"/>
            </w:tcBorders>
            <w:shd w:val="clear" w:color="auto" w:fill="auto"/>
            <w:vAlign w:val="center"/>
          </w:tcPr>
          <w:p w14:paraId="67BB7691" w14:textId="77777777" w:rsidR="00DD0707" w:rsidRPr="004825BB" w:rsidRDefault="00DD0707" w:rsidP="000315FA">
            <w:pPr>
              <w:pStyle w:val="MDPI31text"/>
              <w:autoSpaceDE w:val="0"/>
              <w:autoSpaceDN w:val="0"/>
              <w:spacing w:line="240" w:lineRule="auto"/>
              <w:ind w:left="0" w:firstLine="0"/>
              <w:jc w:val="center"/>
            </w:pPr>
            <w:r w:rsidRPr="004825BB">
              <w:t>2 [2.6%] (0.3–9)</w:t>
            </w:r>
          </w:p>
        </w:tc>
      </w:tr>
      <w:tr w:rsidR="00DD0707" w:rsidRPr="004825BB" w14:paraId="007F4EB1" w14:textId="77777777" w:rsidTr="00DD0707">
        <w:trPr>
          <w:trHeight w:val="142"/>
        </w:trPr>
        <w:tc>
          <w:tcPr>
            <w:tcW w:w="3366" w:type="dxa"/>
            <w:tcBorders>
              <w:top w:val="nil"/>
              <w:left w:val="nil"/>
              <w:right w:val="nil"/>
            </w:tcBorders>
            <w:shd w:val="clear" w:color="auto" w:fill="auto"/>
            <w:vAlign w:val="center"/>
          </w:tcPr>
          <w:p w14:paraId="7BB3BB16" w14:textId="77777777" w:rsidR="00DD0707" w:rsidRPr="004825BB" w:rsidRDefault="00DD0707" w:rsidP="000315FA">
            <w:pPr>
              <w:pStyle w:val="MDPI31text"/>
              <w:autoSpaceDE w:val="0"/>
              <w:autoSpaceDN w:val="0"/>
              <w:spacing w:line="240" w:lineRule="auto"/>
              <w:ind w:left="0" w:firstLine="0"/>
              <w:jc w:val="left"/>
            </w:pPr>
            <w:r w:rsidRPr="004825BB">
              <w:t>Blindness (&gt;1.3)</w:t>
            </w:r>
          </w:p>
        </w:tc>
        <w:tc>
          <w:tcPr>
            <w:tcW w:w="2370" w:type="dxa"/>
            <w:tcBorders>
              <w:top w:val="nil"/>
              <w:left w:val="nil"/>
              <w:right w:val="nil"/>
            </w:tcBorders>
            <w:shd w:val="clear" w:color="auto" w:fill="auto"/>
            <w:vAlign w:val="center"/>
          </w:tcPr>
          <w:p w14:paraId="391D374D" w14:textId="77777777" w:rsidR="00DD0707" w:rsidRPr="004825BB" w:rsidRDefault="00DD0707" w:rsidP="000315FA">
            <w:pPr>
              <w:pStyle w:val="MDPI31text"/>
              <w:autoSpaceDE w:val="0"/>
              <w:autoSpaceDN w:val="0"/>
              <w:spacing w:line="240" w:lineRule="auto"/>
              <w:ind w:left="0" w:firstLine="0"/>
              <w:jc w:val="center"/>
            </w:pPr>
            <w:r w:rsidRPr="004825BB">
              <w:t>0 [0%] (0–4.6)</w:t>
            </w:r>
          </w:p>
        </w:tc>
        <w:tc>
          <w:tcPr>
            <w:tcW w:w="2121" w:type="dxa"/>
            <w:tcBorders>
              <w:top w:val="nil"/>
              <w:left w:val="nil"/>
              <w:right w:val="nil"/>
            </w:tcBorders>
            <w:shd w:val="clear" w:color="auto" w:fill="auto"/>
            <w:vAlign w:val="center"/>
          </w:tcPr>
          <w:p w14:paraId="30DF45A3" w14:textId="77777777" w:rsidR="00DD0707" w:rsidRPr="004825BB" w:rsidRDefault="00DD0707" w:rsidP="000315FA">
            <w:pPr>
              <w:pStyle w:val="MDPI31text"/>
              <w:autoSpaceDE w:val="0"/>
              <w:autoSpaceDN w:val="0"/>
              <w:spacing w:line="240" w:lineRule="auto"/>
              <w:ind w:left="0" w:firstLine="0"/>
              <w:jc w:val="center"/>
            </w:pPr>
            <w:r w:rsidRPr="004825BB">
              <w:t>2 [2.6%] (0.3–9)</w:t>
            </w:r>
          </w:p>
        </w:tc>
      </w:tr>
      <w:tr w:rsidR="00DD0707" w:rsidRPr="004825BB" w14:paraId="62A8E730" w14:textId="77777777" w:rsidTr="00DD0707">
        <w:trPr>
          <w:trHeight w:val="109"/>
        </w:trPr>
        <w:tc>
          <w:tcPr>
            <w:tcW w:w="3366" w:type="dxa"/>
            <w:tcBorders>
              <w:top w:val="single" w:sz="4" w:space="0" w:color="000000"/>
              <w:left w:val="nil"/>
              <w:bottom w:val="nil"/>
              <w:right w:val="nil"/>
            </w:tcBorders>
            <w:shd w:val="clear" w:color="auto" w:fill="auto"/>
            <w:vAlign w:val="center"/>
          </w:tcPr>
          <w:p w14:paraId="2EFA92ED" w14:textId="77777777" w:rsidR="00DD0707" w:rsidRPr="004825BB" w:rsidRDefault="00DD0707" w:rsidP="000315FA">
            <w:pPr>
              <w:pStyle w:val="MDPI31text"/>
              <w:autoSpaceDE w:val="0"/>
              <w:autoSpaceDN w:val="0"/>
              <w:spacing w:line="240" w:lineRule="auto"/>
              <w:ind w:left="0" w:firstLine="0"/>
              <w:jc w:val="left"/>
            </w:pPr>
            <w:r w:rsidRPr="004825BB">
              <w:t>BCVA changes after treatment (eyes):</w:t>
            </w:r>
          </w:p>
        </w:tc>
        <w:tc>
          <w:tcPr>
            <w:tcW w:w="2370" w:type="dxa"/>
            <w:tcBorders>
              <w:top w:val="single" w:sz="4" w:space="0" w:color="000000"/>
              <w:left w:val="nil"/>
              <w:bottom w:val="nil"/>
              <w:right w:val="nil"/>
            </w:tcBorders>
            <w:shd w:val="clear" w:color="auto" w:fill="auto"/>
            <w:vAlign w:val="bottom"/>
          </w:tcPr>
          <w:p w14:paraId="5DE35188" w14:textId="77777777" w:rsidR="00DD0707" w:rsidRPr="004825BB" w:rsidRDefault="00DD0707" w:rsidP="00946195">
            <w:pPr>
              <w:pStyle w:val="MDPI31text"/>
              <w:autoSpaceDE w:val="0"/>
              <w:autoSpaceDN w:val="0"/>
              <w:spacing w:line="240" w:lineRule="auto"/>
              <w:ind w:left="0" w:firstLine="0"/>
              <w:jc w:val="center"/>
              <w:rPr>
                <w:highlight w:val="yellow"/>
              </w:rPr>
            </w:pPr>
          </w:p>
        </w:tc>
        <w:tc>
          <w:tcPr>
            <w:tcW w:w="2121" w:type="dxa"/>
            <w:tcBorders>
              <w:top w:val="single" w:sz="4" w:space="0" w:color="000000"/>
              <w:left w:val="nil"/>
              <w:bottom w:val="nil"/>
              <w:right w:val="nil"/>
            </w:tcBorders>
            <w:shd w:val="clear" w:color="auto" w:fill="auto"/>
            <w:vAlign w:val="bottom"/>
          </w:tcPr>
          <w:p w14:paraId="74BBC607" w14:textId="77777777" w:rsidR="00DD0707" w:rsidRPr="004825BB" w:rsidRDefault="00DD0707" w:rsidP="00946195">
            <w:pPr>
              <w:pStyle w:val="MDPI31text"/>
              <w:autoSpaceDE w:val="0"/>
              <w:autoSpaceDN w:val="0"/>
              <w:spacing w:line="240" w:lineRule="auto"/>
              <w:ind w:left="0" w:firstLine="0"/>
              <w:jc w:val="center"/>
              <w:rPr>
                <w:highlight w:val="yellow"/>
              </w:rPr>
            </w:pPr>
          </w:p>
        </w:tc>
      </w:tr>
      <w:tr w:rsidR="00DD0707" w:rsidRPr="004825BB" w14:paraId="0D28EACF" w14:textId="77777777" w:rsidTr="00DD0707">
        <w:trPr>
          <w:trHeight w:val="106"/>
        </w:trPr>
        <w:tc>
          <w:tcPr>
            <w:tcW w:w="3366" w:type="dxa"/>
            <w:tcBorders>
              <w:top w:val="nil"/>
              <w:left w:val="nil"/>
              <w:bottom w:val="nil"/>
              <w:right w:val="nil"/>
            </w:tcBorders>
            <w:shd w:val="clear" w:color="auto" w:fill="auto"/>
            <w:vAlign w:val="center"/>
          </w:tcPr>
          <w:p w14:paraId="04BA04F7" w14:textId="77777777" w:rsidR="00DD0707" w:rsidRPr="004825BB" w:rsidRDefault="00DD0707" w:rsidP="000315FA">
            <w:pPr>
              <w:pStyle w:val="MDPI31text"/>
              <w:autoSpaceDE w:val="0"/>
              <w:autoSpaceDN w:val="0"/>
              <w:spacing w:line="240" w:lineRule="auto"/>
              <w:ind w:left="0" w:firstLine="0"/>
              <w:jc w:val="left"/>
            </w:pPr>
            <w:r w:rsidRPr="004825BB">
              <w:t>Improvement</w:t>
            </w:r>
          </w:p>
        </w:tc>
        <w:tc>
          <w:tcPr>
            <w:tcW w:w="2370" w:type="dxa"/>
            <w:tcBorders>
              <w:top w:val="nil"/>
              <w:left w:val="nil"/>
              <w:bottom w:val="nil"/>
              <w:right w:val="nil"/>
            </w:tcBorders>
            <w:shd w:val="clear" w:color="auto" w:fill="auto"/>
            <w:vAlign w:val="bottom"/>
          </w:tcPr>
          <w:p w14:paraId="6F5D3A1D" w14:textId="77777777" w:rsidR="00DD0707" w:rsidRPr="004825BB" w:rsidRDefault="00DD0707" w:rsidP="00946195">
            <w:pPr>
              <w:pStyle w:val="MDPI31text"/>
              <w:autoSpaceDE w:val="0"/>
              <w:autoSpaceDN w:val="0"/>
              <w:spacing w:line="240" w:lineRule="auto"/>
              <w:ind w:left="0" w:firstLine="0"/>
              <w:jc w:val="center"/>
            </w:pPr>
            <w:r w:rsidRPr="004825BB">
              <w:t xml:space="preserve">45 [38.5%] </w:t>
            </w:r>
            <w:r w:rsidRPr="00B84578">
              <w:t>29.6</w:t>
            </w:r>
            <w:commentRangeStart w:id="39"/>
            <w:commentRangeStart w:id="40"/>
            <w:r w:rsidR="00756D0F" w:rsidRPr="00B84578">
              <w:rPr>
                <w:highlight w:val="yellow"/>
              </w:rPr>
              <w:t>–</w:t>
            </w:r>
            <w:commentRangeEnd w:id="39"/>
            <w:r w:rsidR="00B84578">
              <w:rPr>
                <w:rStyle w:val="Refdecomentario"/>
                <w:rFonts w:eastAsia="SimSun"/>
                <w:noProof/>
                <w:snapToGrid/>
                <w:kern w:val="0"/>
                <w:lang w:eastAsia="zh-CN" w:bidi="ar-SA"/>
                <w14:ligatures w14:val="none"/>
              </w:rPr>
              <w:commentReference w:id="39"/>
            </w:r>
            <w:commentRangeEnd w:id="40"/>
            <w:r w:rsidR="007A006E">
              <w:rPr>
                <w:rStyle w:val="Refdecomentario"/>
                <w:rFonts w:eastAsia="SimSun"/>
                <w:snapToGrid/>
                <w:kern w:val="0"/>
                <w:lang w:eastAsia="zh-CN" w:bidi="ar-SA"/>
                <w14:ligatures w14:val="none"/>
              </w:rPr>
              <w:commentReference w:id="40"/>
            </w:r>
            <w:r w:rsidRPr="00B84578">
              <w:t>47.9</w:t>
            </w:r>
          </w:p>
        </w:tc>
        <w:tc>
          <w:tcPr>
            <w:tcW w:w="2121" w:type="dxa"/>
            <w:tcBorders>
              <w:top w:val="nil"/>
              <w:left w:val="nil"/>
              <w:bottom w:val="nil"/>
              <w:right w:val="nil"/>
            </w:tcBorders>
            <w:shd w:val="clear" w:color="auto" w:fill="auto"/>
            <w:vAlign w:val="bottom"/>
          </w:tcPr>
          <w:p w14:paraId="668B6830" w14:textId="77777777" w:rsidR="00DD0707" w:rsidRPr="004825BB" w:rsidRDefault="00DD0707" w:rsidP="00946195">
            <w:pPr>
              <w:pStyle w:val="MDPI31text"/>
              <w:autoSpaceDE w:val="0"/>
              <w:autoSpaceDN w:val="0"/>
              <w:spacing w:line="240" w:lineRule="auto"/>
              <w:ind w:left="0" w:firstLine="0"/>
              <w:jc w:val="center"/>
            </w:pPr>
            <w:r w:rsidRPr="004825BB">
              <w:t>57 [43.5%] 34.9</w:t>
            </w:r>
            <w:r w:rsidR="00B84578" w:rsidRPr="00B84578">
              <w:rPr>
                <w:highlight w:val="yellow"/>
              </w:rPr>
              <w:t>–</w:t>
            </w:r>
            <w:r w:rsidRPr="004825BB">
              <w:t>52.4</w:t>
            </w:r>
          </w:p>
        </w:tc>
      </w:tr>
      <w:tr w:rsidR="00DD0707" w:rsidRPr="004825BB" w14:paraId="21556666" w14:textId="77777777" w:rsidTr="00DD0707">
        <w:trPr>
          <w:trHeight w:val="106"/>
        </w:trPr>
        <w:tc>
          <w:tcPr>
            <w:tcW w:w="3366" w:type="dxa"/>
            <w:tcBorders>
              <w:top w:val="nil"/>
              <w:left w:val="nil"/>
              <w:bottom w:val="nil"/>
              <w:right w:val="nil"/>
            </w:tcBorders>
            <w:shd w:val="clear" w:color="auto" w:fill="auto"/>
            <w:vAlign w:val="center"/>
          </w:tcPr>
          <w:p w14:paraId="75C4B3DB" w14:textId="77777777" w:rsidR="00DD0707" w:rsidRPr="004825BB" w:rsidRDefault="00DD0707" w:rsidP="000315FA">
            <w:pPr>
              <w:pStyle w:val="MDPI31text"/>
              <w:autoSpaceDE w:val="0"/>
              <w:autoSpaceDN w:val="0"/>
              <w:spacing w:line="240" w:lineRule="auto"/>
              <w:ind w:left="0" w:firstLine="0"/>
              <w:jc w:val="left"/>
            </w:pPr>
            <w:r w:rsidRPr="004825BB">
              <w:t>No change</w:t>
            </w:r>
          </w:p>
        </w:tc>
        <w:tc>
          <w:tcPr>
            <w:tcW w:w="2370" w:type="dxa"/>
            <w:tcBorders>
              <w:top w:val="nil"/>
              <w:left w:val="nil"/>
              <w:bottom w:val="nil"/>
              <w:right w:val="nil"/>
            </w:tcBorders>
            <w:shd w:val="clear" w:color="auto" w:fill="auto"/>
            <w:vAlign w:val="bottom"/>
          </w:tcPr>
          <w:p w14:paraId="1634BC4B" w14:textId="77777777" w:rsidR="00DD0707" w:rsidRPr="004825BB" w:rsidRDefault="00DD0707" w:rsidP="00946195">
            <w:pPr>
              <w:pStyle w:val="MDPI31text"/>
              <w:autoSpaceDE w:val="0"/>
              <w:autoSpaceDN w:val="0"/>
              <w:spacing w:line="240" w:lineRule="auto"/>
              <w:ind w:left="0" w:firstLine="0"/>
              <w:jc w:val="center"/>
            </w:pPr>
            <w:r w:rsidRPr="004825BB">
              <w:t>26 [22.2%] 15.1</w:t>
            </w:r>
            <w:r w:rsidR="00B84578" w:rsidRPr="00B84578">
              <w:rPr>
                <w:highlight w:val="yellow"/>
              </w:rPr>
              <w:t>–</w:t>
            </w:r>
            <w:r w:rsidRPr="004825BB">
              <w:t>30.8</w:t>
            </w:r>
          </w:p>
        </w:tc>
        <w:tc>
          <w:tcPr>
            <w:tcW w:w="2121" w:type="dxa"/>
            <w:tcBorders>
              <w:top w:val="nil"/>
              <w:left w:val="nil"/>
              <w:bottom w:val="nil"/>
              <w:right w:val="nil"/>
            </w:tcBorders>
            <w:shd w:val="clear" w:color="auto" w:fill="auto"/>
            <w:vAlign w:val="bottom"/>
          </w:tcPr>
          <w:p w14:paraId="002833BC" w14:textId="77777777" w:rsidR="00DD0707" w:rsidRPr="004825BB" w:rsidRDefault="00DD0707" w:rsidP="00946195">
            <w:pPr>
              <w:pStyle w:val="MDPI31text"/>
              <w:autoSpaceDE w:val="0"/>
              <w:autoSpaceDN w:val="0"/>
              <w:spacing w:line="240" w:lineRule="auto"/>
              <w:ind w:left="0" w:firstLine="0"/>
              <w:jc w:val="center"/>
            </w:pPr>
            <w:r w:rsidRPr="004825BB">
              <w:t>16 [12.2%] 7.1</w:t>
            </w:r>
            <w:r w:rsidR="00B84578" w:rsidRPr="00B84578">
              <w:rPr>
                <w:highlight w:val="yellow"/>
              </w:rPr>
              <w:t>–</w:t>
            </w:r>
            <w:r w:rsidRPr="004825BB">
              <w:t>19.1</w:t>
            </w:r>
          </w:p>
        </w:tc>
      </w:tr>
      <w:tr w:rsidR="00DD0707" w:rsidRPr="004825BB" w14:paraId="12D21696" w14:textId="77777777" w:rsidTr="00DD0707">
        <w:trPr>
          <w:trHeight w:val="106"/>
        </w:trPr>
        <w:tc>
          <w:tcPr>
            <w:tcW w:w="3366" w:type="dxa"/>
            <w:tcBorders>
              <w:top w:val="nil"/>
              <w:left w:val="nil"/>
              <w:bottom w:val="single" w:sz="8" w:space="0" w:color="auto"/>
              <w:right w:val="nil"/>
            </w:tcBorders>
            <w:shd w:val="clear" w:color="auto" w:fill="auto"/>
            <w:vAlign w:val="center"/>
          </w:tcPr>
          <w:p w14:paraId="64462C3F" w14:textId="77777777" w:rsidR="00DD0707" w:rsidRPr="004825BB" w:rsidRDefault="00DD0707" w:rsidP="000315FA">
            <w:pPr>
              <w:pStyle w:val="MDPI31text"/>
              <w:autoSpaceDE w:val="0"/>
              <w:autoSpaceDN w:val="0"/>
              <w:spacing w:line="240" w:lineRule="auto"/>
              <w:ind w:left="0" w:firstLine="0"/>
              <w:jc w:val="left"/>
            </w:pPr>
            <w:r w:rsidRPr="004825BB">
              <w:t>Worsening</w:t>
            </w:r>
          </w:p>
        </w:tc>
        <w:tc>
          <w:tcPr>
            <w:tcW w:w="2370" w:type="dxa"/>
            <w:tcBorders>
              <w:top w:val="nil"/>
              <w:left w:val="nil"/>
              <w:bottom w:val="single" w:sz="8" w:space="0" w:color="auto"/>
              <w:right w:val="nil"/>
            </w:tcBorders>
            <w:shd w:val="clear" w:color="auto" w:fill="auto"/>
            <w:vAlign w:val="bottom"/>
          </w:tcPr>
          <w:p w14:paraId="731C6944" w14:textId="77777777" w:rsidR="00DD0707" w:rsidRPr="004825BB" w:rsidRDefault="00DD0707" w:rsidP="00946195">
            <w:pPr>
              <w:pStyle w:val="MDPI31text"/>
              <w:autoSpaceDE w:val="0"/>
              <w:autoSpaceDN w:val="0"/>
              <w:spacing w:line="240" w:lineRule="auto"/>
              <w:ind w:left="0" w:firstLine="0"/>
              <w:jc w:val="center"/>
            </w:pPr>
            <w:r w:rsidRPr="004825BB">
              <w:t>46 [39.3%] 30.4</w:t>
            </w:r>
            <w:r w:rsidR="00B84578" w:rsidRPr="00B84578">
              <w:rPr>
                <w:highlight w:val="yellow"/>
              </w:rPr>
              <w:t>–</w:t>
            </w:r>
            <w:r w:rsidRPr="004825BB">
              <w:t>48.8</w:t>
            </w:r>
          </w:p>
        </w:tc>
        <w:tc>
          <w:tcPr>
            <w:tcW w:w="2121" w:type="dxa"/>
            <w:tcBorders>
              <w:top w:val="nil"/>
              <w:left w:val="nil"/>
              <w:bottom w:val="single" w:sz="8" w:space="0" w:color="auto"/>
              <w:right w:val="nil"/>
            </w:tcBorders>
            <w:shd w:val="clear" w:color="auto" w:fill="auto"/>
            <w:vAlign w:val="bottom"/>
          </w:tcPr>
          <w:p w14:paraId="23FF43A0" w14:textId="77777777" w:rsidR="00DD0707" w:rsidRPr="004825BB" w:rsidRDefault="00DD0707" w:rsidP="00946195">
            <w:pPr>
              <w:pStyle w:val="MDPI31text"/>
              <w:autoSpaceDE w:val="0"/>
              <w:autoSpaceDN w:val="0"/>
              <w:spacing w:line="240" w:lineRule="auto"/>
              <w:ind w:left="0" w:firstLine="0"/>
              <w:jc w:val="center"/>
            </w:pPr>
            <w:r w:rsidRPr="004825BB">
              <w:t>58 [44.3%] 35.6</w:t>
            </w:r>
            <w:r w:rsidR="00B84578" w:rsidRPr="00B84578">
              <w:rPr>
                <w:highlight w:val="yellow"/>
              </w:rPr>
              <w:t>–</w:t>
            </w:r>
            <w:r w:rsidRPr="004825BB">
              <w:t>53.2</w:t>
            </w:r>
          </w:p>
        </w:tc>
      </w:tr>
    </w:tbl>
    <w:p w14:paraId="20B93A95" w14:textId="77777777" w:rsidR="007522FF" w:rsidRPr="004825BB" w:rsidRDefault="007522FF" w:rsidP="007522FF">
      <w:pPr>
        <w:pStyle w:val="MDPI43tablefooter"/>
        <w:spacing w:after="240"/>
      </w:pPr>
      <w:r w:rsidRPr="004825BB">
        <w:t xml:space="preserve">SD: standard deviation; [%]: percentage; </w:t>
      </w:r>
      <w:r w:rsidRPr="004825BB">
        <w:rPr>
          <w:bCs/>
        </w:rPr>
        <w:t xml:space="preserve">(95% CI): 95% confidence interval. </w:t>
      </w:r>
      <w:r w:rsidRPr="004825BB">
        <w:t>*</w:t>
      </w:r>
      <w:r w:rsidR="00287537" w:rsidRPr="004825BB">
        <w:t xml:space="preserve"> </w:t>
      </w:r>
      <w:r w:rsidRPr="004825BB">
        <w:t>Visual impairment as defined by the World Health Organization [17]: No impairment = LogMAR visual acuity ≤ 0.3; Mild impairment = LogMAR visual acuity &gt;0.3–≤0.5; Moderate impairment = LogMAR visual acuity &gt;0.5–≤1; Severe impairment = LogMAR visual acuity 1–1.3</w:t>
      </w:r>
      <w:r w:rsidR="00761951">
        <w:t>;</w:t>
      </w:r>
      <w:r w:rsidRPr="004825BB">
        <w:t xml:space="preserve"> or blindness (&gt;1.3). BCVA: </w:t>
      </w:r>
      <w:r w:rsidR="007F3A11">
        <w:t>b</w:t>
      </w:r>
      <w:r w:rsidRPr="004825BB">
        <w:t xml:space="preserve">est-corrected visual acuity. The change in visual acuity per eye was considered </w:t>
      </w:r>
      <w:r w:rsidR="007F3A11">
        <w:t xml:space="preserve">an </w:t>
      </w:r>
      <w:r w:rsidRPr="004825BB">
        <w:t>improvement or worsening if there was an increase or decrease in one step on the LogMAR scale, respectively.</w:t>
      </w:r>
    </w:p>
    <w:p w14:paraId="7D09218B" w14:textId="77777777" w:rsidR="00FB785E" w:rsidRPr="004825BB" w:rsidRDefault="00FB785E" w:rsidP="00E23E78">
      <w:pPr>
        <w:pStyle w:val="MDPI31text"/>
      </w:pPr>
      <w:r w:rsidRPr="004825BB">
        <w:t xml:space="preserve">Patients had to travel a mean of 37.2 </w:t>
      </w:r>
      <w:r w:rsidR="00F07CEB" w:rsidRPr="004825BB">
        <w:t>±</w:t>
      </w:r>
      <w:r w:rsidRPr="004825BB">
        <w:t xml:space="preserve"> 48 [95% CI: 26.</w:t>
      </w:r>
      <w:r w:rsidR="00227CB7" w:rsidRPr="004825BB">
        <w:t>2–48</w:t>
      </w:r>
      <w:r w:rsidRPr="004825BB">
        <w:t xml:space="preserve">] km at the initial survey and 45.3 </w:t>
      </w:r>
      <w:r w:rsidR="00F07CEB" w:rsidRPr="004825BB">
        <w:t>±</w:t>
      </w:r>
      <w:r w:rsidRPr="004825BB">
        <w:t xml:space="preserve"> 94.3 [95% CI 24.</w:t>
      </w:r>
      <w:r w:rsidR="00227CB7" w:rsidRPr="004825BB">
        <w:t>1–66</w:t>
      </w:r>
      <w:r w:rsidRPr="004825BB">
        <w:t xml:space="preserve">.6] km at the final survey. No patient participating in the study resided in a nursing home at the initial survey. Three patients who lived alone at the initial survey changed their domicile: </w:t>
      </w:r>
      <w:r w:rsidR="00C02B5F">
        <w:t>two</w:t>
      </w:r>
      <w:r w:rsidRPr="004825BB">
        <w:t xml:space="preserve"> patients went to live in a nursing home, and </w:t>
      </w:r>
      <w:r w:rsidR="00C02B5F">
        <w:t>one</w:t>
      </w:r>
      <w:r w:rsidRPr="004825BB">
        <w:t xml:space="preserve"> went to live with family.</w:t>
      </w:r>
    </w:p>
    <w:p w14:paraId="6258D345" w14:textId="77777777" w:rsidR="00FB785E" w:rsidRPr="004825BB" w:rsidRDefault="00FB785E" w:rsidP="00E23E78">
      <w:pPr>
        <w:pStyle w:val="MDPI31text"/>
      </w:pPr>
      <w:r w:rsidRPr="004825BB">
        <w:t xml:space="preserve">In the lapse of time between both surveys, </w:t>
      </w:r>
      <w:r w:rsidR="00C02B5F">
        <w:t>nine</w:t>
      </w:r>
      <w:r w:rsidRPr="004825BB">
        <w:t xml:space="preserve"> eyes of </w:t>
      </w:r>
      <w:r w:rsidR="00C02B5F">
        <w:t>nine</w:t>
      </w:r>
      <w:r w:rsidRPr="004825BB">
        <w:t xml:space="preserve"> patients developed significant lens opacities and were operated on. No patient developed uncontrolled ocular hypertension or any other retinal complication.</w:t>
      </w:r>
    </w:p>
    <w:p w14:paraId="04ADEEFD" w14:textId="77777777" w:rsidR="00FB785E" w:rsidRPr="004825BB" w:rsidRDefault="00E23E78" w:rsidP="00E23E78">
      <w:pPr>
        <w:pStyle w:val="MDPI22heading2"/>
        <w:spacing w:before="240"/>
        <w:rPr>
          <w:noProof w:val="0"/>
        </w:rPr>
      </w:pPr>
      <w:r w:rsidRPr="004825BB">
        <w:rPr>
          <w:noProof w:val="0"/>
        </w:rPr>
        <w:t xml:space="preserve">3.2. </w:t>
      </w:r>
      <w:r w:rsidR="00FB785E" w:rsidRPr="004825BB">
        <w:rPr>
          <w:noProof w:val="0"/>
        </w:rPr>
        <w:t xml:space="preserve">Study </w:t>
      </w:r>
      <w:r w:rsidR="0089403E" w:rsidRPr="004825BB">
        <w:rPr>
          <w:noProof w:val="0"/>
        </w:rPr>
        <w:t>Outcomes</w:t>
      </w:r>
    </w:p>
    <w:p w14:paraId="1FB6091F" w14:textId="77777777" w:rsidR="00FB785E" w:rsidRPr="004825BB" w:rsidRDefault="00FB785E" w:rsidP="00E23E78">
      <w:pPr>
        <w:pStyle w:val="MDPI31text"/>
      </w:pPr>
      <w:r w:rsidRPr="004825BB">
        <w:rPr>
          <w:color w:val="auto"/>
        </w:rPr>
        <w:t xml:space="preserve">Table 1 shows the clinical outcomes of the study. </w:t>
      </w:r>
      <w:r w:rsidR="00A86436">
        <w:rPr>
          <w:color w:val="auto"/>
        </w:rPr>
        <w:t>T</w:t>
      </w:r>
      <w:r w:rsidRPr="004825BB">
        <w:rPr>
          <w:color w:val="auto"/>
        </w:rPr>
        <w:t xml:space="preserve">he patients were under intravitreal treatment for a mean of 44 months </w:t>
      </w:r>
      <w:r w:rsidR="00A86436">
        <w:rPr>
          <w:color w:val="auto"/>
        </w:rPr>
        <w:t>a</w:t>
      </w:r>
      <w:r w:rsidR="00A86436" w:rsidRPr="004825BB">
        <w:rPr>
          <w:color w:val="auto"/>
        </w:rPr>
        <w:t xml:space="preserve">t the time of the initial survey </w:t>
      </w:r>
      <w:r w:rsidRPr="004825BB">
        <w:rPr>
          <w:color w:val="auto"/>
        </w:rPr>
        <w:t>and 74 months at the final survey. At the final survey, 66 patients (84.6%) had continued treatment, 12 had suspended treatment, 8 (10.3</w:t>
      </w:r>
      <w:r w:rsidRPr="004825BB">
        <w:t>%) had inactive disease for more than 12 months, and 4 (5.1%) had a nonresponding and/or poor prognosis.</w:t>
      </w:r>
    </w:p>
    <w:p w14:paraId="2588C05B" w14:textId="77777777" w:rsidR="00FB785E" w:rsidRPr="004825BB" w:rsidRDefault="00FB785E" w:rsidP="007202E4">
      <w:pPr>
        <w:pStyle w:val="MDPI31text"/>
      </w:pPr>
      <w:r w:rsidRPr="004825BB">
        <w:t>Before starting antiangiogenic treatment, 50 (64.1%) of our patients had no visual impairment, 12 (15.5%) had mild impairment, 11 (14.1%) had moderate impairment, 3 (3.8%) had severe impairment, and 2 (2.56%) were blind.</w:t>
      </w:r>
    </w:p>
    <w:p w14:paraId="0A483196" w14:textId="77777777" w:rsidR="00FB785E" w:rsidRPr="00BF6145" w:rsidRDefault="00FB785E" w:rsidP="007202E4">
      <w:pPr>
        <w:pStyle w:val="MDPI31text"/>
        <w:rPr>
          <w:spacing w:val="-4"/>
        </w:rPr>
      </w:pPr>
      <w:r w:rsidRPr="004825BB">
        <w:t xml:space="preserve">After a mean follow-up time of 74.6 months, the mean BCVA of treated eyes declined during the study from the pretreatment LogMAR BCVA of 0.58 </w:t>
      </w:r>
      <w:r w:rsidR="00F07CEB" w:rsidRPr="004825BB">
        <w:t>±</w:t>
      </w:r>
      <w:r w:rsidRPr="004825BB">
        <w:t xml:space="preserve"> 0.42 to 0.77 </w:t>
      </w:r>
      <w:r w:rsidR="00F07CEB" w:rsidRPr="004825BB">
        <w:t>±</w:t>
      </w:r>
      <w:r w:rsidR="006109F2" w:rsidRPr="004825BB">
        <w:t xml:space="preserve"> </w:t>
      </w:r>
      <w:r w:rsidRPr="004825BB">
        <w:t>0.83 at the final survey. Although at the initial survey 39 patients (50%) were receiving treatment in both eyes, by the time of the final su</w:t>
      </w:r>
      <w:r w:rsidRPr="00BF6145">
        <w:rPr>
          <w:spacing w:val="-4"/>
        </w:rPr>
        <w:t>rvey, 53 patients (67.9%) required bilateral treatment.</w:t>
      </w:r>
    </w:p>
    <w:p w14:paraId="0EA308C2" w14:textId="77777777" w:rsidR="00FB785E" w:rsidRPr="00BF6145" w:rsidRDefault="00FB785E" w:rsidP="007202E4">
      <w:pPr>
        <w:pStyle w:val="MDPI31text"/>
        <w:rPr>
          <w:spacing w:val="-4"/>
        </w:rPr>
      </w:pPr>
      <w:commentRangeStart w:id="41"/>
      <w:commentRangeStart w:id="42"/>
      <w:r w:rsidRPr="00BF6145">
        <w:rPr>
          <w:spacing w:val="-4"/>
        </w:rPr>
        <w:t xml:space="preserve">In the initial assessment of </w:t>
      </w:r>
      <w:proofErr w:type="spellStart"/>
      <w:r w:rsidRPr="00BF6145">
        <w:rPr>
          <w:spacing w:val="-4"/>
        </w:rPr>
        <w:t>HRQoL</w:t>
      </w:r>
      <w:proofErr w:type="spellEnd"/>
      <w:r w:rsidRPr="00BF6145">
        <w:rPr>
          <w:spacing w:val="-4"/>
        </w:rPr>
        <w:t xml:space="preserve"> with the EQ-5D-3L questionnaire, the mean health index </w:t>
      </w:r>
      <w:r w:rsidR="00A24662" w:rsidRPr="00BF6145">
        <w:rPr>
          <w:spacing w:val="-4"/>
        </w:rPr>
        <w:t>was</w:t>
      </w:r>
      <w:r w:rsidRPr="00BF6145">
        <w:rPr>
          <w:spacing w:val="-4"/>
        </w:rPr>
        <w:t xml:space="preserve"> 0.73 </w:t>
      </w:r>
      <w:r w:rsidR="00F07CEB" w:rsidRPr="00BF6145">
        <w:rPr>
          <w:spacing w:val="-4"/>
        </w:rPr>
        <w:t>±</w:t>
      </w:r>
      <w:r w:rsidRPr="00BF6145">
        <w:rPr>
          <w:spacing w:val="-4"/>
        </w:rPr>
        <w:t xml:space="preserve"> 0.2 and </w:t>
      </w:r>
      <w:r w:rsidR="00A24662" w:rsidRPr="00BF6145">
        <w:rPr>
          <w:spacing w:val="-4"/>
        </w:rPr>
        <w:t xml:space="preserve">the EQ VAS </w:t>
      </w:r>
      <w:r w:rsidR="006F4017" w:rsidRPr="00BF6145">
        <w:rPr>
          <w:spacing w:val="-4"/>
        </w:rPr>
        <w:t xml:space="preserve">was </w:t>
      </w:r>
      <w:r w:rsidRPr="00BF6145">
        <w:rPr>
          <w:spacing w:val="-4"/>
        </w:rPr>
        <w:t xml:space="preserve">74.5 </w:t>
      </w:r>
      <w:r w:rsidR="00F07CEB" w:rsidRPr="00BF6145">
        <w:rPr>
          <w:spacing w:val="-4"/>
        </w:rPr>
        <w:t>±</w:t>
      </w:r>
      <w:r w:rsidRPr="00BF6145">
        <w:rPr>
          <w:spacing w:val="-4"/>
        </w:rPr>
        <w:t xml:space="preserve"> 19.0. </w:t>
      </w:r>
      <w:commentRangeEnd w:id="41"/>
      <w:r w:rsidR="00E133AB" w:rsidRPr="00BF6145">
        <w:rPr>
          <w:rStyle w:val="Refdecomentario"/>
          <w:rFonts w:eastAsia="SimSun"/>
          <w:noProof/>
          <w:snapToGrid/>
          <w:spacing w:val="-4"/>
          <w:kern w:val="0"/>
          <w:lang w:eastAsia="zh-CN" w:bidi="ar-SA"/>
          <w14:ligatures w14:val="none"/>
        </w:rPr>
        <w:commentReference w:id="41"/>
      </w:r>
      <w:commentRangeEnd w:id="42"/>
      <w:r w:rsidR="00DC43BE">
        <w:rPr>
          <w:rStyle w:val="Refdecomentario"/>
          <w:rFonts w:eastAsia="SimSun"/>
          <w:snapToGrid/>
          <w:kern w:val="0"/>
          <w:lang w:eastAsia="zh-CN" w:bidi="ar-SA"/>
          <w14:ligatures w14:val="none"/>
        </w:rPr>
        <w:commentReference w:id="42"/>
      </w:r>
      <w:r w:rsidRPr="00BF6145">
        <w:rPr>
          <w:spacing w:val="-4"/>
        </w:rPr>
        <w:t xml:space="preserve">The final survey results of EQ-5D-3L were 0.70 </w:t>
      </w:r>
      <w:r w:rsidR="00F07CEB" w:rsidRPr="00BF6145">
        <w:rPr>
          <w:spacing w:val="-4"/>
        </w:rPr>
        <w:t>±</w:t>
      </w:r>
      <w:r w:rsidR="006109F2" w:rsidRPr="00BF6145">
        <w:rPr>
          <w:spacing w:val="-4"/>
        </w:rPr>
        <w:t xml:space="preserve"> </w:t>
      </w:r>
      <w:r w:rsidRPr="00BF6145">
        <w:rPr>
          <w:spacing w:val="-4"/>
        </w:rPr>
        <w:t>0.2 in the health index and 70.1</w:t>
      </w:r>
      <w:r w:rsidR="006109F2" w:rsidRPr="00BF6145">
        <w:rPr>
          <w:spacing w:val="-4"/>
        </w:rPr>
        <w:t xml:space="preserve"> </w:t>
      </w:r>
      <w:r w:rsidR="00F07CEB" w:rsidRPr="00BF6145">
        <w:rPr>
          <w:spacing w:val="-4"/>
        </w:rPr>
        <w:t>±</w:t>
      </w:r>
      <w:r w:rsidRPr="00BF6145">
        <w:rPr>
          <w:spacing w:val="-4"/>
        </w:rPr>
        <w:t xml:space="preserve"> 16.5 in the EQ VAS. This last result was worse than that obtained in the first query (</w:t>
      </w:r>
      <w:r w:rsidR="004B3E58" w:rsidRPr="00BF6145">
        <w:rPr>
          <w:i/>
          <w:spacing w:val="-4"/>
        </w:rPr>
        <w:t xml:space="preserve">p </w:t>
      </w:r>
      <w:r w:rsidR="004B3E58" w:rsidRPr="00BF6145">
        <w:rPr>
          <w:spacing w:val="-4"/>
        </w:rPr>
        <w:t>=</w:t>
      </w:r>
      <w:r w:rsidR="004B3E58" w:rsidRPr="00BF6145">
        <w:rPr>
          <w:i/>
          <w:spacing w:val="-4"/>
        </w:rPr>
        <w:t xml:space="preserve"> </w:t>
      </w:r>
      <w:r w:rsidR="004B3E58" w:rsidRPr="00BF6145">
        <w:rPr>
          <w:spacing w:val="-4"/>
        </w:rPr>
        <w:t>0</w:t>
      </w:r>
      <w:r w:rsidRPr="00BF6145">
        <w:rPr>
          <w:spacing w:val="-4"/>
        </w:rPr>
        <w:t xml:space="preserve">.048). In the initial survey, the two most frequent health </w:t>
      </w:r>
      <w:r w:rsidRPr="00BF6145">
        <w:rPr>
          <w:spacing w:val="-4"/>
        </w:rPr>
        <w:lastRenderedPageBreak/>
        <w:t>problems were “pain/discomfort” (in 69.23% of patients) and “mobility problems” (38.46%). In the final survey, the two most frequent health problems were “pain/discomfort” and “problems with usual activities” in 66.67% and 48.87% of patients, respectively.</w:t>
      </w:r>
    </w:p>
    <w:p w14:paraId="1F93B5F9" w14:textId="77777777" w:rsidR="00FB785E" w:rsidRPr="004825BB" w:rsidRDefault="00FB785E" w:rsidP="007202E4">
      <w:pPr>
        <w:pStyle w:val="MDPI31text"/>
      </w:pPr>
      <w:r w:rsidRPr="004825BB">
        <w:t xml:space="preserve">Detailed results of both the initial and final assessment of QoL (EQ-5D-3L) in the </w:t>
      </w:r>
      <w:commentRangeStart w:id="43"/>
      <w:commentRangeStart w:id="44"/>
      <w:r w:rsidRPr="004825BB">
        <w:t>five-</w:t>
      </w:r>
      <w:r w:rsidR="00A806FE">
        <w:t xml:space="preserve">dimension </w:t>
      </w:r>
      <w:r w:rsidRPr="004825BB">
        <w:t xml:space="preserve">descriptive system </w:t>
      </w:r>
      <w:commentRangeEnd w:id="43"/>
      <w:r w:rsidR="00A806FE">
        <w:rPr>
          <w:rStyle w:val="Refdecomentario"/>
          <w:rFonts w:eastAsia="SimSun"/>
          <w:noProof/>
          <w:snapToGrid/>
          <w:kern w:val="0"/>
          <w:lang w:eastAsia="zh-CN" w:bidi="ar-SA"/>
          <w14:ligatures w14:val="none"/>
        </w:rPr>
        <w:commentReference w:id="43"/>
      </w:r>
      <w:commentRangeEnd w:id="44"/>
      <w:r w:rsidR="00DC43BE">
        <w:rPr>
          <w:rStyle w:val="Refdecomentario"/>
          <w:rFonts w:eastAsia="SimSun"/>
          <w:snapToGrid/>
          <w:kern w:val="0"/>
          <w:lang w:eastAsia="zh-CN" w:bidi="ar-SA"/>
          <w14:ligatures w14:val="none"/>
        </w:rPr>
        <w:commentReference w:id="44"/>
      </w:r>
      <w:r w:rsidRPr="004825BB">
        <w:t>are shown in Table 2. The descriptive system related to “self-care” and “usual activities” worsened in the final after-COVID interview (</w:t>
      </w:r>
      <w:r w:rsidR="004B3E58" w:rsidRPr="004825BB">
        <w:rPr>
          <w:i/>
        </w:rPr>
        <w:t xml:space="preserve">p </w:t>
      </w:r>
      <w:r w:rsidR="004B3E58" w:rsidRPr="004825BB">
        <w:t>=</w:t>
      </w:r>
      <w:r w:rsidR="004B3E58" w:rsidRPr="004825BB">
        <w:rPr>
          <w:i/>
        </w:rPr>
        <w:t xml:space="preserve"> </w:t>
      </w:r>
      <w:r w:rsidR="004B3E58" w:rsidRPr="004825BB">
        <w:t>0</w:t>
      </w:r>
      <w:r w:rsidRPr="004825BB">
        <w:t>.005 and 0.01, respectively).</w:t>
      </w:r>
    </w:p>
    <w:p w14:paraId="00B8CD7B" w14:textId="77777777" w:rsidR="00FB785E" w:rsidRPr="004825BB" w:rsidRDefault="007202E4" w:rsidP="007202E4">
      <w:pPr>
        <w:pStyle w:val="MDPI41tablecaption"/>
      </w:pPr>
      <w:r w:rsidRPr="004825BB">
        <w:rPr>
          <w:b/>
          <w:bCs/>
        </w:rPr>
        <w:t xml:space="preserve">Table 2. </w:t>
      </w:r>
      <w:r w:rsidR="00FB785E" w:rsidRPr="004825BB">
        <w:t>EQ-5D-3L numbers and frequencies by dimension and level</w:t>
      </w:r>
      <w:r w:rsidR="006832B8">
        <w:t xml:space="preserve"> in</w:t>
      </w:r>
      <w:r w:rsidR="00FB785E" w:rsidRPr="004825BB">
        <w:t xml:space="preserve"> </w:t>
      </w:r>
      <w:r w:rsidR="006832B8">
        <w:t>i</w:t>
      </w:r>
      <w:r w:rsidR="00FB785E" w:rsidRPr="004825BB">
        <w:t>nitial and final survey</w:t>
      </w:r>
      <w:r w:rsidR="006832B8">
        <w:t>s</w:t>
      </w:r>
      <w:r w:rsidR="00FB785E" w:rsidRPr="004825BB">
        <w:t>.</w:t>
      </w:r>
    </w:p>
    <w:tbl>
      <w:tblPr>
        <w:tblStyle w:val="Tablaconcuadrcula1"/>
        <w:tblW w:w="10465" w:type="dxa"/>
        <w:jc w:val="center"/>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03"/>
        <w:gridCol w:w="861"/>
        <w:gridCol w:w="861"/>
        <w:gridCol w:w="717"/>
        <w:gridCol w:w="860"/>
        <w:gridCol w:w="861"/>
        <w:gridCol w:w="860"/>
        <w:gridCol w:w="861"/>
        <w:gridCol w:w="860"/>
        <w:gridCol w:w="861"/>
        <w:gridCol w:w="860"/>
      </w:tblGrid>
      <w:tr w:rsidR="00FB785E" w:rsidRPr="00777AE3" w14:paraId="0F79DA2B" w14:textId="77777777" w:rsidTr="00E46717">
        <w:trPr>
          <w:trHeight w:val="611"/>
          <w:jc w:val="center"/>
        </w:trPr>
        <w:tc>
          <w:tcPr>
            <w:tcW w:w="2003" w:type="dxa"/>
            <w:shd w:val="clear" w:color="auto" w:fill="auto"/>
            <w:noWrap/>
            <w:vAlign w:val="center"/>
            <w:hideMark/>
          </w:tcPr>
          <w:p w14:paraId="4CAF87C1" w14:textId="77777777" w:rsidR="00FB785E" w:rsidRPr="00777AE3" w:rsidRDefault="00FB785E" w:rsidP="007202E4">
            <w:pPr>
              <w:autoSpaceDE w:val="0"/>
              <w:autoSpaceDN w:val="0"/>
              <w:adjustRightInd w:val="0"/>
              <w:snapToGrid w:val="0"/>
              <w:spacing w:line="240" w:lineRule="auto"/>
              <w:jc w:val="center"/>
              <w:rPr>
                <w:rFonts w:eastAsia="Times New Roman" w:cstheme="minorHAnsi"/>
                <w:b/>
                <w:bCs/>
                <w:sz w:val="16"/>
                <w:szCs w:val="16"/>
              </w:rPr>
            </w:pPr>
            <w:r w:rsidRPr="00777AE3">
              <w:rPr>
                <w:rFonts w:eastAsia="Times New Roman" w:cstheme="minorHAnsi"/>
                <w:b/>
                <w:bCs/>
                <w:sz w:val="16"/>
                <w:szCs w:val="16"/>
              </w:rPr>
              <w:t>EQ-5D-3L</w:t>
            </w:r>
          </w:p>
        </w:tc>
        <w:tc>
          <w:tcPr>
            <w:tcW w:w="1722" w:type="dxa"/>
            <w:gridSpan w:val="2"/>
            <w:shd w:val="clear" w:color="auto" w:fill="auto"/>
            <w:noWrap/>
            <w:vAlign w:val="center"/>
            <w:hideMark/>
          </w:tcPr>
          <w:p w14:paraId="04F7C711" w14:textId="77777777" w:rsidR="00FB785E" w:rsidRPr="00777AE3" w:rsidRDefault="00FB785E" w:rsidP="007202E4">
            <w:pPr>
              <w:autoSpaceDE w:val="0"/>
              <w:autoSpaceDN w:val="0"/>
              <w:adjustRightInd w:val="0"/>
              <w:snapToGrid w:val="0"/>
              <w:spacing w:line="240" w:lineRule="auto"/>
              <w:jc w:val="center"/>
              <w:rPr>
                <w:rFonts w:eastAsia="Times New Roman" w:cstheme="minorHAnsi"/>
                <w:b/>
                <w:bCs/>
                <w:color w:val="FFFFFF"/>
                <w:sz w:val="16"/>
                <w:szCs w:val="16"/>
              </w:rPr>
            </w:pPr>
            <w:r w:rsidRPr="00777AE3">
              <w:rPr>
                <w:rFonts w:cstheme="minorHAnsi"/>
                <w:b/>
                <w:bCs/>
                <w:sz w:val="16"/>
                <w:szCs w:val="16"/>
              </w:rPr>
              <w:t xml:space="preserve">Mobility </w:t>
            </w:r>
            <w:r w:rsidR="00E46717" w:rsidRPr="00777AE3">
              <w:rPr>
                <w:rFonts w:cstheme="minorHAnsi"/>
                <w:b/>
                <w:bCs/>
                <w:sz w:val="16"/>
                <w:szCs w:val="16"/>
              </w:rPr>
              <w:t>Problems</w:t>
            </w:r>
          </w:p>
        </w:tc>
        <w:tc>
          <w:tcPr>
            <w:tcW w:w="1577" w:type="dxa"/>
            <w:gridSpan w:val="2"/>
            <w:shd w:val="clear" w:color="auto" w:fill="auto"/>
            <w:noWrap/>
            <w:vAlign w:val="center"/>
            <w:hideMark/>
          </w:tcPr>
          <w:p w14:paraId="309C8ED9" w14:textId="77777777" w:rsidR="00FB785E" w:rsidRPr="00777AE3" w:rsidRDefault="00FB785E" w:rsidP="007202E4">
            <w:pPr>
              <w:autoSpaceDE w:val="0"/>
              <w:autoSpaceDN w:val="0"/>
              <w:adjustRightInd w:val="0"/>
              <w:snapToGrid w:val="0"/>
              <w:spacing w:line="240" w:lineRule="auto"/>
              <w:jc w:val="center"/>
              <w:rPr>
                <w:rFonts w:cstheme="minorHAnsi"/>
                <w:b/>
                <w:bCs/>
                <w:sz w:val="16"/>
                <w:szCs w:val="16"/>
              </w:rPr>
            </w:pPr>
            <w:r w:rsidRPr="00777AE3">
              <w:rPr>
                <w:rFonts w:eastAsia="Times New Roman" w:cstheme="minorHAnsi"/>
                <w:b/>
                <w:bCs/>
                <w:color w:val="000000" w:themeColor="text1"/>
                <w:sz w:val="16"/>
                <w:szCs w:val="16"/>
              </w:rPr>
              <w:t>Self-</w:t>
            </w:r>
            <w:r w:rsidR="00E46717" w:rsidRPr="00777AE3">
              <w:rPr>
                <w:rFonts w:eastAsia="Times New Roman" w:cstheme="minorHAnsi"/>
                <w:b/>
                <w:bCs/>
                <w:color w:val="000000" w:themeColor="text1"/>
                <w:sz w:val="16"/>
                <w:szCs w:val="16"/>
              </w:rPr>
              <w:t>Care</w:t>
            </w:r>
          </w:p>
        </w:tc>
        <w:tc>
          <w:tcPr>
            <w:tcW w:w="1721" w:type="dxa"/>
            <w:gridSpan w:val="2"/>
            <w:shd w:val="clear" w:color="auto" w:fill="auto"/>
            <w:noWrap/>
            <w:vAlign w:val="center"/>
            <w:hideMark/>
          </w:tcPr>
          <w:p w14:paraId="0120F31A" w14:textId="77777777" w:rsidR="00FB785E" w:rsidRPr="00777AE3" w:rsidRDefault="00FB785E" w:rsidP="007202E4">
            <w:pPr>
              <w:autoSpaceDE w:val="0"/>
              <w:autoSpaceDN w:val="0"/>
              <w:adjustRightInd w:val="0"/>
              <w:snapToGrid w:val="0"/>
              <w:spacing w:line="240" w:lineRule="auto"/>
              <w:jc w:val="center"/>
              <w:rPr>
                <w:rFonts w:eastAsia="Times New Roman" w:cstheme="minorHAnsi"/>
                <w:b/>
                <w:bCs/>
                <w:color w:val="FFFFFF"/>
                <w:sz w:val="16"/>
                <w:szCs w:val="16"/>
              </w:rPr>
            </w:pPr>
            <w:r w:rsidRPr="00777AE3">
              <w:rPr>
                <w:rFonts w:cstheme="minorHAnsi"/>
                <w:b/>
                <w:bCs/>
                <w:sz w:val="16"/>
                <w:szCs w:val="16"/>
              </w:rPr>
              <w:t xml:space="preserve">Problems with </w:t>
            </w:r>
            <w:r w:rsidR="00E46717" w:rsidRPr="00777AE3">
              <w:rPr>
                <w:rFonts w:cstheme="minorHAnsi"/>
                <w:b/>
                <w:bCs/>
                <w:sz w:val="16"/>
                <w:szCs w:val="16"/>
              </w:rPr>
              <w:t>Usual Acti</w:t>
            </w:r>
            <w:r w:rsidRPr="00777AE3">
              <w:rPr>
                <w:rFonts w:cstheme="minorHAnsi"/>
                <w:b/>
                <w:bCs/>
                <w:sz w:val="16"/>
                <w:szCs w:val="16"/>
              </w:rPr>
              <w:t>vities</w:t>
            </w:r>
          </w:p>
        </w:tc>
        <w:tc>
          <w:tcPr>
            <w:tcW w:w="1721" w:type="dxa"/>
            <w:gridSpan w:val="2"/>
            <w:shd w:val="clear" w:color="auto" w:fill="auto"/>
            <w:noWrap/>
            <w:vAlign w:val="center"/>
            <w:hideMark/>
          </w:tcPr>
          <w:p w14:paraId="681ADEDF" w14:textId="77777777" w:rsidR="00FB785E" w:rsidRPr="00777AE3" w:rsidRDefault="00E46717" w:rsidP="00E46717">
            <w:pPr>
              <w:autoSpaceDE w:val="0"/>
              <w:autoSpaceDN w:val="0"/>
              <w:adjustRightInd w:val="0"/>
              <w:snapToGrid w:val="0"/>
              <w:spacing w:line="240" w:lineRule="auto"/>
              <w:rPr>
                <w:rFonts w:cstheme="minorHAnsi"/>
                <w:b/>
                <w:bCs/>
                <w:sz w:val="16"/>
                <w:szCs w:val="16"/>
              </w:rPr>
            </w:pPr>
            <w:r w:rsidRPr="00777AE3">
              <w:rPr>
                <w:rFonts w:eastAsia="Times New Roman" w:cstheme="minorHAnsi"/>
                <w:b/>
                <w:bCs/>
                <w:color w:val="FFFFFF"/>
                <w:sz w:val="16"/>
                <w:szCs w:val="16"/>
              </w:rPr>
              <w:t xml:space="preserve"> </w:t>
            </w:r>
            <w:r w:rsidR="00FB785E" w:rsidRPr="00777AE3">
              <w:rPr>
                <w:rFonts w:cstheme="minorHAnsi"/>
                <w:b/>
                <w:bCs/>
                <w:sz w:val="16"/>
                <w:szCs w:val="16"/>
              </w:rPr>
              <w:t>Pain/</w:t>
            </w:r>
            <w:r w:rsidRPr="00777AE3">
              <w:rPr>
                <w:rFonts w:cstheme="minorHAnsi"/>
                <w:b/>
                <w:bCs/>
                <w:sz w:val="16"/>
                <w:szCs w:val="16"/>
              </w:rPr>
              <w:t>Discomfort</w:t>
            </w:r>
          </w:p>
        </w:tc>
        <w:tc>
          <w:tcPr>
            <w:tcW w:w="1721" w:type="dxa"/>
            <w:gridSpan w:val="2"/>
            <w:shd w:val="clear" w:color="auto" w:fill="auto"/>
            <w:noWrap/>
            <w:vAlign w:val="center"/>
            <w:hideMark/>
          </w:tcPr>
          <w:p w14:paraId="69E4F437" w14:textId="77777777" w:rsidR="00FB785E" w:rsidRPr="00777AE3" w:rsidRDefault="00FB785E" w:rsidP="007202E4">
            <w:pPr>
              <w:autoSpaceDE w:val="0"/>
              <w:autoSpaceDN w:val="0"/>
              <w:adjustRightInd w:val="0"/>
              <w:snapToGrid w:val="0"/>
              <w:spacing w:line="240" w:lineRule="auto"/>
              <w:jc w:val="center"/>
              <w:rPr>
                <w:rFonts w:eastAsia="Times New Roman" w:cstheme="minorHAnsi"/>
                <w:b/>
                <w:bCs/>
                <w:color w:val="FFFFFF"/>
                <w:sz w:val="16"/>
                <w:szCs w:val="16"/>
              </w:rPr>
            </w:pPr>
            <w:r w:rsidRPr="00777AE3">
              <w:rPr>
                <w:rFonts w:cstheme="minorHAnsi"/>
                <w:b/>
                <w:bCs/>
                <w:sz w:val="16"/>
                <w:szCs w:val="16"/>
              </w:rPr>
              <w:t>Anxiety/</w:t>
            </w:r>
            <w:r w:rsidR="00E46717" w:rsidRPr="00777AE3">
              <w:rPr>
                <w:rFonts w:cstheme="minorHAnsi"/>
                <w:b/>
                <w:bCs/>
                <w:sz w:val="16"/>
                <w:szCs w:val="16"/>
              </w:rPr>
              <w:t>Depression</w:t>
            </w:r>
            <w:r w:rsidR="00E46717" w:rsidRPr="00777AE3">
              <w:rPr>
                <w:rFonts w:eastAsia="Times New Roman" w:cstheme="minorHAnsi"/>
                <w:b/>
                <w:bCs/>
                <w:color w:val="FFFFFF"/>
                <w:sz w:val="16"/>
                <w:szCs w:val="16"/>
              </w:rPr>
              <w:t xml:space="preserve"> </w:t>
            </w:r>
          </w:p>
        </w:tc>
      </w:tr>
      <w:tr w:rsidR="00FB785E" w:rsidRPr="00777AE3" w14:paraId="149DA1D1" w14:textId="77777777" w:rsidTr="007202E4">
        <w:trPr>
          <w:jc w:val="center"/>
        </w:trPr>
        <w:tc>
          <w:tcPr>
            <w:tcW w:w="2003" w:type="dxa"/>
            <w:shd w:val="clear" w:color="auto" w:fill="auto"/>
            <w:noWrap/>
            <w:vAlign w:val="center"/>
          </w:tcPr>
          <w:p w14:paraId="50B36495" w14:textId="77777777" w:rsidR="00FB785E" w:rsidRPr="00777AE3" w:rsidRDefault="00FB785E" w:rsidP="007202E4">
            <w:pPr>
              <w:autoSpaceDE w:val="0"/>
              <w:autoSpaceDN w:val="0"/>
              <w:adjustRightInd w:val="0"/>
              <w:snapToGrid w:val="0"/>
              <w:spacing w:line="240" w:lineRule="auto"/>
              <w:jc w:val="left"/>
              <w:rPr>
                <w:rFonts w:eastAsia="Times New Roman" w:cstheme="minorHAnsi"/>
                <w:b/>
                <w:bCs/>
                <w:sz w:val="16"/>
                <w:szCs w:val="16"/>
              </w:rPr>
            </w:pPr>
          </w:p>
        </w:tc>
        <w:tc>
          <w:tcPr>
            <w:tcW w:w="861" w:type="dxa"/>
            <w:shd w:val="clear" w:color="auto" w:fill="auto"/>
            <w:noWrap/>
            <w:vAlign w:val="center"/>
          </w:tcPr>
          <w:p w14:paraId="0D26947B" w14:textId="77777777" w:rsidR="00FB785E" w:rsidRPr="00777AE3" w:rsidRDefault="00FB785E" w:rsidP="007202E4">
            <w:pPr>
              <w:autoSpaceDE w:val="0"/>
              <w:autoSpaceDN w:val="0"/>
              <w:adjustRightInd w:val="0"/>
              <w:snapToGrid w:val="0"/>
              <w:spacing w:line="240" w:lineRule="auto"/>
              <w:jc w:val="center"/>
              <w:rPr>
                <w:rFonts w:eastAsia="Times New Roman" w:cstheme="minorHAnsi"/>
                <w:b/>
                <w:bCs/>
                <w:sz w:val="16"/>
                <w:szCs w:val="16"/>
              </w:rPr>
            </w:pPr>
            <w:r w:rsidRPr="00777AE3">
              <w:rPr>
                <w:rFonts w:eastAsia="Times New Roman" w:cstheme="minorHAnsi"/>
                <w:b/>
                <w:bCs/>
                <w:sz w:val="16"/>
                <w:szCs w:val="16"/>
              </w:rPr>
              <w:t>Initial</w:t>
            </w:r>
          </w:p>
        </w:tc>
        <w:tc>
          <w:tcPr>
            <w:tcW w:w="861" w:type="dxa"/>
            <w:shd w:val="clear" w:color="auto" w:fill="auto"/>
            <w:vAlign w:val="center"/>
          </w:tcPr>
          <w:p w14:paraId="1C1AD8D3" w14:textId="77777777" w:rsidR="00FB785E" w:rsidRPr="00777AE3" w:rsidRDefault="00FB785E" w:rsidP="007202E4">
            <w:pPr>
              <w:autoSpaceDE w:val="0"/>
              <w:autoSpaceDN w:val="0"/>
              <w:adjustRightInd w:val="0"/>
              <w:snapToGrid w:val="0"/>
              <w:spacing w:line="240" w:lineRule="auto"/>
              <w:jc w:val="center"/>
              <w:rPr>
                <w:rFonts w:eastAsia="Times New Roman" w:cstheme="minorHAnsi"/>
                <w:b/>
                <w:bCs/>
                <w:sz w:val="16"/>
                <w:szCs w:val="16"/>
              </w:rPr>
            </w:pPr>
            <w:r w:rsidRPr="00777AE3">
              <w:rPr>
                <w:rFonts w:eastAsia="Times New Roman" w:cstheme="minorHAnsi"/>
                <w:b/>
                <w:bCs/>
                <w:sz w:val="16"/>
                <w:szCs w:val="16"/>
              </w:rPr>
              <w:t>Final</w:t>
            </w:r>
          </w:p>
        </w:tc>
        <w:tc>
          <w:tcPr>
            <w:tcW w:w="717" w:type="dxa"/>
            <w:shd w:val="clear" w:color="auto" w:fill="auto"/>
            <w:noWrap/>
            <w:vAlign w:val="center"/>
          </w:tcPr>
          <w:p w14:paraId="4CFCDB96" w14:textId="77777777" w:rsidR="00FB785E" w:rsidRPr="00777AE3" w:rsidRDefault="00FB785E" w:rsidP="007202E4">
            <w:pPr>
              <w:autoSpaceDE w:val="0"/>
              <w:autoSpaceDN w:val="0"/>
              <w:adjustRightInd w:val="0"/>
              <w:snapToGrid w:val="0"/>
              <w:spacing w:line="240" w:lineRule="auto"/>
              <w:jc w:val="center"/>
              <w:rPr>
                <w:rFonts w:eastAsia="Times New Roman" w:cstheme="minorHAnsi"/>
                <w:b/>
                <w:bCs/>
                <w:sz w:val="16"/>
                <w:szCs w:val="16"/>
              </w:rPr>
            </w:pPr>
            <w:r w:rsidRPr="00777AE3">
              <w:rPr>
                <w:rFonts w:eastAsia="Times New Roman" w:cstheme="minorHAnsi"/>
                <w:b/>
                <w:bCs/>
                <w:sz w:val="16"/>
                <w:szCs w:val="16"/>
              </w:rPr>
              <w:t>Initial</w:t>
            </w:r>
          </w:p>
        </w:tc>
        <w:tc>
          <w:tcPr>
            <w:tcW w:w="860" w:type="dxa"/>
            <w:shd w:val="clear" w:color="auto" w:fill="auto"/>
            <w:vAlign w:val="center"/>
          </w:tcPr>
          <w:p w14:paraId="1B80E788" w14:textId="77777777" w:rsidR="00FB785E" w:rsidRPr="00777AE3" w:rsidRDefault="00FB785E" w:rsidP="007202E4">
            <w:pPr>
              <w:autoSpaceDE w:val="0"/>
              <w:autoSpaceDN w:val="0"/>
              <w:adjustRightInd w:val="0"/>
              <w:snapToGrid w:val="0"/>
              <w:spacing w:line="240" w:lineRule="auto"/>
              <w:jc w:val="center"/>
              <w:rPr>
                <w:rFonts w:eastAsia="Times New Roman" w:cstheme="minorHAnsi"/>
                <w:b/>
                <w:bCs/>
                <w:sz w:val="16"/>
                <w:szCs w:val="16"/>
              </w:rPr>
            </w:pPr>
            <w:r w:rsidRPr="00777AE3">
              <w:rPr>
                <w:rFonts w:eastAsia="Times New Roman" w:cstheme="minorHAnsi"/>
                <w:b/>
                <w:bCs/>
                <w:sz w:val="16"/>
                <w:szCs w:val="16"/>
              </w:rPr>
              <w:t>Final</w:t>
            </w:r>
          </w:p>
        </w:tc>
        <w:tc>
          <w:tcPr>
            <w:tcW w:w="861" w:type="dxa"/>
            <w:shd w:val="clear" w:color="auto" w:fill="auto"/>
            <w:noWrap/>
            <w:vAlign w:val="center"/>
          </w:tcPr>
          <w:p w14:paraId="3B3EFE4F" w14:textId="77777777" w:rsidR="00FB785E" w:rsidRPr="00777AE3" w:rsidRDefault="00FB785E" w:rsidP="007202E4">
            <w:pPr>
              <w:autoSpaceDE w:val="0"/>
              <w:autoSpaceDN w:val="0"/>
              <w:adjustRightInd w:val="0"/>
              <w:snapToGrid w:val="0"/>
              <w:spacing w:line="240" w:lineRule="auto"/>
              <w:jc w:val="center"/>
              <w:rPr>
                <w:rFonts w:eastAsia="Times New Roman" w:cstheme="minorHAnsi"/>
                <w:b/>
                <w:bCs/>
                <w:sz w:val="16"/>
                <w:szCs w:val="16"/>
              </w:rPr>
            </w:pPr>
            <w:r w:rsidRPr="00777AE3">
              <w:rPr>
                <w:rFonts w:eastAsia="Times New Roman" w:cstheme="minorHAnsi"/>
                <w:b/>
                <w:bCs/>
                <w:sz w:val="16"/>
                <w:szCs w:val="16"/>
              </w:rPr>
              <w:t>Initial</w:t>
            </w:r>
          </w:p>
        </w:tc>
        <w:tc>
          <w:tcPr>
            <w:tcW w:w="860" w:type="dxa"/>
            <w:shd w:val="clear" w:color="auto" w:fill="auto"/>
            <w:vAlign w:val="center"/>
          </w:tcPr>
          <w:p w14:paraId="7AAEF57C" w14:textId="77777777" w:rsidR="00FB785E" w:rsidRPr="00777AE3" w:rsidRDefault="00FB785E" w:rsidP="007202E4">
            <w:pPr>
              <w:autoSpaceDE w:val="0"/>
              <w:autoSpaceDN w:val="0"/>
              <w:adjustRightInd w:val="0"/>
              <w:snapToGrid w:val="0"/>
              <w:spacing w:line="240" w:lineRule="auto"/>
              <w:jc w:val="center"/>
              <w:rPr>
                <w:rFonts w:eastAsia="Times New Roman" w:cstheme="minorHAnsi"/>
                <w:b/>
                <w:bCs/>
                <w:sz w:val="16"/>
                <w:szCs w:val="16"/>
              </w:rPr>
            </w:pPr>
            <w:r w:rsidRPr="00777AE3">
              <w:rPr>
                <w:rFonts w:eastAsia="Times New Roman" w:cstheme="minorHAnsi"/>
                <w:b/>
                <w:bCs/>
                <w:sz w:val="16"/>
                <w:szCs w:val="16"/>
              </w:rPr>
              <w:t>Final</w:t>
            </w:r>
          </w:p>
        </w:tc>
        <w:tc>
          <w:tcPr>
            <w:tcW w:w="861" w:type="dxa"/>
            <w:shd w:val="clear" w:color="auto" w:fill="auto"/>
            <w:noWrap/>
            <w:vAlign w:val="center"/>
          </w:tcPr>
          <w:p w14:paraId="250C9F9E" w14:textId="77777777" w:rsidR="00FB785E" w:rsidRPr="00777AE3" w:rsidRDefault="00FB785E" w:rsidP="007202E4">
            <w:pPr>
              <w:autoSpaceDE w:val="0"/>
              <w:autoSpaceDN w:val="0"/>
              <w:adjustRightInd w:val="0"/>
              <w:snapToGrid w:val="0"/>
              <w:spacing w:line="240" w:lineRule="auto"/>
              <w:jc w:val="center"/>
              <w:rPr>
                <w:rFonts w:eastAsia="Times New Roman" w:cstheme="minorHAnsi"/>
                <w:b/>
                <w:bCs/>
                <w:sz w:val="16"/>
                <w:szCs w:val="16"/>
              </w:rPr>
            </w:pPr>
            <w:r w:rsidRPr="00777AE3">
              <w:rPr>
                <w:rFonts w:eastAsia="Times New Roman" w:cstheme="minorHAnsi"/>
                <w:b/>
                <w:bCs/>
                <w:sz w:val="16"/>
                <w:szCs w:val="16"/>
              </w:rPr>
              <w:t>Initial</w:t>
            </w:r>
          </w:p>
        </w:tc>
        <w:tc>
          <w:tcPr>
            <w:tcW w:w="860" w:type="dxa"/>
            <w:shd w:val="clear" w:color="auto" w:fill="auto"/>
            <w:vAlign w:val="center"/>
          </w:tcPr>
          <w:p w14:paraId="705436C1" w14:textId="77777777" w:rsidR="00FB785E" w:rsidRPr="00777AE3" w:rsidRDefault="00FB785E" w:rsidP="007202E4">
            <w:pPr>
              <w:autoSpaceDE w:val="0"/>
              <w:autoSpaceDN w:val="0"/>
              <w:adjustRightInd w:val="0"/>
              <w:snapToGrid w:val="0"/>
              <w:spacing w:line="240" w:lineRule="auto"/>
              <w:jc w:val="center"/>
              <w:rPr>
                <w:rFonts w:eastAsia="Times New Roman" w:cstheme="minorHAnsi"/>
                <w:b/>
                <w:bCs/>
                <w:sz w:val="16"/>
                <w:szCs w:val="16"/>
              </w:rPr>
            </w:pPr>
            <w:r w:rsidRPr="00777AE3">
              <w:rPr>
                <w:rFonts w:eastAsia="Times New Roman" w:cstheme="minorHAnsi"/>
                <w:b/>
                <w:bCs/>
                <w:sz w:val="16"/>
                <w:szCs w:val="16"/>
              </w:rPr>
              <w:t>Final</w:t>
            </w:r>
          </w:p>
        </w:tc>
        <w:tc>
          <w:tcPr>
            <w:tcW w:w="861" w:type="dxa"/>
            <w:shd w:val="clear" w:color="auto" w:fill="auto"/>
            <w:noWrap/>
            <w:vAlign w:val="center"/>
          </w:tcPr>
          <w:p w14:paraId="69C57974" w14:textId="77777777" w:rsidR="00FB785E" w:rsidRPr="00777AE3" w:rsidRDefault="00FB785E" w:rsidP="007202E4">
            <w:pPr>
              <w:autoSpaceDE w:val="0"/>
              <w:autoSpaceDN w:val="0"/>
              <w:adjustRightInd w:val="0"/>
              <w:snapToGrid w:val="0"/>
              <w:spacing w:line="240" w:lineRule="auto"/>
              <w:jc w:val="center"/>
              <w:rPr>
                <w:rFonts w:eastAsia="Times New Roman" w:cstheme="minorHAnsi"/>
                <w:b/>
                <w:bCs/>
                <w:sz w:val="16"/>
                <w:szCs w:val="16"/>
              </w:rPr>
            </w:pPr>
            <w:r w:rsidRPr="00777AE3">
              <w:rPr>
                <w:rFonts w:eastAsia="Times New Roman" w:cstheme="minorHAnsi"/>
                <w:b/>
                <w:bCs/>
                <w:sz w:val="16"/>
                <w:szCs w:val="16"/>
              </w:rPr>
              <w:t>Initial</w:t>
            </w:r>
          </w:p>
        </w:tc>
        <w:tc>
          <w:tcPr>
            <w:tcW w:w="860" w:type="dxa"/>
            <w:shd w:val="clear" w:color="auto" w:fill="auto"/>
            <w:vAlign w:val="center"/>
          </w:tcPr>
          <w:p w14:paraId="57D15458" w14:textId="77777777" w:rsidR="00FB785E" w:rsidRPr="00777AE3" w:rsidRDefault="00FB785E" w:rsidP="007202E4">
            <w:pPr>
              <w:autoSpaceDE w:val="0"/>
              <w:autoSpaceDN w:val="0"/>
              <w:adjustRightInd w:val="0"/>
              <w:snapToGrid w:val="0"/>
              <w:spacing w:line="240" w:lineRule="auto"/>
              <w:jc w:val="center"/>
              <w:rPr>
                <w:rFonts w:eastAsia="Times New Roman" w:cstheme="minorHAnsi"/>
                <w:b/>
                <w:bCs/>
                <w:sz w:val="16"/>
                <w:szCs w:val="16"/>
              </w:rPr>
            </w:pPr>
            <w:r w:rsidRPr="00777AE3">
              <w:rPr>
                <w:rFonts w:eastAsia="Times New Roman" w:cstheme="minorHAnsi"/>
                <w:b/>
                <w:bCs/>
                <w:sz w:val="16"/>
                <w:szCs w:val="16"/>
              </w:rPr>
              <w:t>Final</w:t>
            </w:r>
          </w:p>
        </w:tc>
      </w:tr>
      <w:tr w:rsidR="00FB785E" w:rsidRPr="00777AE3" w14:paraId="0D8FCFFE" w14:textId="77777777" w:rsidTr="007202E4">
        <w:trPr>
          <w:jc w:val="center"/>
        </w:trPr>
        <w:tc>
          <w:tcPr>
            <w:tcW w:w="2003" w:type="dxa"/>
            <w:shd w:val="clear" w:color="auto" w:fill="auto"/>
            <w:noWrap/>
            <w:vAlign w:val="center"/>
            <w:hideMark/>
          </w:tcPr>
          <w:p w14:paraId="7E558D56" w14:textId="77777777" w:rsidR="00FB785E" w:rsidRPr="00777AE3" w:rsidRDefault="00FB785E" w:rsidP="007202E4">
            <w:pPr>
              <w:autoSpaceDE w:val="0"/>
              <w:autoSpaceDN w:val="0"/>
              <w:adjustRightInd w:val="0"/>
              <w:snapToGrid w:val="0"/>
              <w:spacing w:line="240" w:lineRule="auto"/>
              <w:jc w:val="left"/>
              <w:rPr>
                <w:rFonts w:eastAsia="Times New Roman" w:cstheme="minorHAnsi"/>
                <w:sz w:val="16"/>
                <w:szCs w:val="16"/>
              </w:rPr>
            </w:pPr>
            <w:r w:rsidRPr="00777AE3">
              <w:rPr>
                <w:rFonts w:eastAsia="Times New Roman" w:cstheme="minorHAnsi"/>
                <w:sz w:val="16"/>
                <w:szCs w:val="16"/>
              </w:rPr>
              <w:t>Level 1 (no problems)</w:t>
            </w:r>
          </w:p>
        </w:tc>
        <w:tc>
          <w:tcPr>
            <w:tcW w:w="861" w:type="dxa"/>
            <w:shd w:val="clear" w:color="auto" w:fill="auto"/>
            <w:noWrap/>
            <w:vAlign w:val="center"/>
            <w:hideMark/>
          </w:tcPr>
          <w:p w14:paraId="331C2836"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48 [61.53%]</w:t>
            </w:r>
          </w:p>
        </w:tc>
        <w:tc>
          <w:tcPr>
            <w:tcW w:w="861" w:type="dxa"/>
            <w:shd w:val="clear" w:color="auto" w:fill="auto"/>
            <w:vAlign w:val="center"/>
          </w:tcPr>
          <w:p w14:paraId="5A3F5EC8"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44 [56.41%]</w:t>
            </w:r>
          </w:p>
        </w:tc>
        <w:tc>
          <w:tcPr>
            <w:tcW w:w="717" w:type="dxa"/>
            <w:shd w:val="clear" w:color="auto" w:fill="auto"/>
            <w:noWrap/>
            <w:vAlign w:val="center"/>
            <w:hideMark/>
          </w:tcPr>
          <w:p w14:paraId="4C23FD37"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72 [92.3%]</w:t>
            </w:r>
          </w:p>
        </w:tc>
        <w:tc>
          <w:tcPr>
            <w:tcW w:w="860" w:type="dxa"/>
            <w:shd w:val="clear" w:color="auto" w:fill="auto"/>
            <w:vAlign w:val="center"/>
          </w:tcPr>
          <w:p w14:paraId="1BB609AA"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58 [74.36%]</w:t>
            </w:r>
          </w:p>
        </w:tc>
        <w:tc>
          <w:tcPr>
            <w:tcW w:w="861" w:type="dxa"/>
            <w:shd w:val="clear" w:color="auto" w:fill="auto"/>
            <w:noWrap/>
            <w:vAlign w:val="center"/>
            <w:hideMark/>
          </w:tcPr>
          <w:p w14:paraId="319D7AB4"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58 [74.45%]</w:t>
            </w:r>
          </w:p>
        </w:tc>
        <w:tc>
          <w:tcPr>
            <w:tcW w:w="860" w:type="dxa"/>
            <w:shd w:val="clear" w:color="auto" w:fill="auto"/>
            <w:vAlign w:val="center"/>
          </w:tcPr>
          <w:p w14:paraId="01790ADC"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43 [55.12%]</w:t>
            </w:r>
          </w:p>
        </w:tc>
        <w:tc>
          <w:tcPr>
            <w:tcW w:w="861" w:type="dxa"/>
            <w:shd w:val="clear" w:color="auto" w:fill="auto"/>
            <w:noWrap/>
            <w:vAlign w:val="center"/>
            <w:hideMark/>
          </w:tcPr>
          <w:p w14:paraId="1BA247A1"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24 [30.76%]</w:t>
            </w:r>
          </w:p>
        </w:tc>
        <w:tc>
          <w:tcPr>
            <w:tcW w:w="860" w:type="dxa"/>
            <w:shd w:val="clear" w:color="auto" w:fill="auto"/>
            <w:vAlign w:val="center"/>
          </w:tcPr>
          <w:p w14:paraId="3BA2BDB0"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26 [33.33%]</w:t>
            </w:r>
          </w:p>
        </w:tc>
        <w:tc>
          <w:tcPr>
            <w:tcW w:w="861" w:type="dxa"/>
            <w:shd w:val="clear" w:color="auto" w:fill="auto"/>
            <w:noWrap/>
            <w:vAlign w:val="center"/>
            <w:hideMark/>
          </w:tcPr>
          <w:p w14:paraId="6D53D1E1"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56 [71.79%]</w:t>
            </w:r>
          </w:p>
        </w:tc>
        <w:tc>
          <w:tcPr>
            <w:tcW w:w="860" w:type="dxa"/>
            <w:shd w:val="clear" w:color="auto" w:fill="auto"/>
            <w:vAlign w:val="center"/>
          </w:tcPr>
          <w:p w14:paraId="43A78B17"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59 [75.64%]</w:t>
            </w:r>
          </w:p>
        </w:tc>
      </w:tr>
      <w:tr w:rsidR="00FB785E" w:rsidRPr="00777AE3" w14:paraId="649DF433" w14:textId="77777777" w:rsidTr="007202E4">
        <w:trPr>
          <w:jc w:val="center"/>
        </w:trPr>
        <w:tc>
          <w:tcPr>
            <w:tcW w:w="2003" w:type="dxa"/>
            <w:shd w:val="clear" w:color="auto" w:fill="auto"/>
            <w:noWrap/>
            <w:vAlign w:val="center"/>
            <w:hideMark/>
          </w:tcPr>
          <w:p w14:paraId="612B068F" w14:textId="77777777" w:rsidR="00FB785E" w:rsidRPr="00777AE3" w:rsidRDefault="00FB785E" w:rsidP="007202E4">
            <w:pPr>
              <w:autoSpaceDE w:val="0"/>
              <w:autoSpaceDN w:val="0"/>
              <w:adjustRightInd w:val="0"/>
              <w:snapToGrid w:val="0"/>
              <w:spacing w:line="240" w:lineRule="auto"/>
              <w:jc w:val="left"/>
              <w:rPr>
                <w:rFonts w:eastAsia="Times New Roman" w:cstheme="minorHAnsi"/>
                <w:sz w:val="16"/>
                <w:szCs w:val="16"/>
              </w:rPr>
            </w:pPr>
            <w:r w:rsidRPr="00777AE3">
              <w:rPr>
                <w:rFonts w:eastAsia="Times New Roman" w:cstheme="minorHAnsi"/>
                <w:sz w:val="16"/>
                <w:szCs w:val="16"/>
              </w:rPr>
              <w:t>Level 2 (some problems)</w:t>
            </w:r>
          </w:p>
        </w:tc>
        <w:tc>
          <w:tcPr>
            <w:tcW w:w="861" w:type="dxa"/>
            <w:shd w:val="clear" w:color="auto" w:fill="auto"/>
            <w:noWrap/>
            <w:vAlign w:val="center"/>
            <w:hideMark/>
          </w:tcPr>
          <w:p w14:paraId="4AA77A22"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30 [38.46%]</w:t>
            </w:r>
          </w:p>
        </w:tc>
        <w:tc>
          <w:tcPr>
            <w:tcW w:w="861" w:type="dxa"/>
            <w:shd w:val="clear" w:color="auto" w:fill="auto"/>
            <w:vAlign w:val="center"/>
          </w:tcPr>
          <w:p w14:paraId="1605508E"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34 [43.58%]</w:t>
            </w:r>
          </w:p>
        </w:tc>
        <w:tc>
          <w:tcPr>
            <w:tcW w:w="717" w:type="dxa"/>
            <w:shd w:val="clear" w:color="auto" w:fill="auto"/>
            <w:noWrap/>
            <w:vAlign w:val="center"/>
            <w:hideMark/>
          </w:tcPr>
          <w:p w14:paraId="64F02822"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5 [6.41%]</w:t>
            </w:r>
          </w:p>
        </w:tc>
        <w:tc>
          <w:tcPr>
            <w:tcW w:w="860" w:type="dxa"/>
            <w:shd w:val="clear" w:color="auto" w:fill="auto"/>
            <w:vAlign w:val="center"/>
          </w:tcPr>
          <w:p w14:paraId="6C40844E"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18 [23.08%]</w:t>
            </w:r>
          </w:p>
        </w:tc>
        <w:tc>
          <w:tcPr>
            <w:tcW w:w="861" w:type="dxa"/>
            <w:shd w:val="clear" w:color="auto" w:fill="auto"/>
            <w:noWrap/>
            <w:vAlign w:val="center"/>
            <w:hideMark/>
          </w:tcPr>
          <w:p w14:paraId="02208A05"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17 [21.79%]</w:t>
            </w:r>
          </w:p>
        </w:tc>
        <w:tc>
          <w:tcPr>
            <w:tcW w:w="860" w:type="dxa"/>
            <w:shd w:val="clear" w:color="auto" w:fill="auto"/>
            <w:vAlign w:val="center"/>
          </w:tcPr>
          <w:p w14:paraId="355B81A9"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33 [42.31%]</w:t>
            </w:r>
          </w:p>
        </w:tc>
        <w:tc>
          <w:tcPr>
            <w:tcW w:w="861" w:type="dxa"/>
            <w:shd w:val="clear" w:color="auto" w:fill="auto"/>
            <w:noWrap/>
            <w:vAlign w:val="center"/>
            <w:hideMark/>
          </w:tcPr>
          <w:p w14:paraId="128A11CF"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48 [61.53%]</w:t>
            </w:r>
          </w:p>
        </w:tc>
        <w:tc>
          <w:tcPr>
            <w:tcW w:w="860" w:type="dxa"/>
            <w:shd w:val="clear" w:color="auto" w:fill="auto"/>
            <w:vAlign w:val="center"/>
          </w:tcPr>
          <w:p w14:paraId="55D9DB69"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47 [60.26%]</w:t>
            </w:r>
          </w:p>
        </w:tc>
        <w:tc>
          <w:tcPr>
            <w:tcW w:w="861" w:type="dxa"/>
            <w:shd w:val="clear" w:color="auto" w:fill="auto"/>
            <w:noWrap/>
            <w:vAlign w:val="center"/>
            <w:hideMark/>
          </w:tcPr>
          <w:p w14:paraId="21C3213D"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21 [26.92%]</w:t>
            </w:r>
          </w:p>
        </w:tc>
        <w:tc>
          <w:tcPr>
            <w:tcW w:w="860" w:type="dxa"/>
            <w:shd w:val="clear" w:color="auto" w:fill="auto"/>
            <w:vAlign w:val="center"/>
          </w:tcPr>
          <w:p w14:paraId="55DEEFAF"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16 [20.51%]</w:t>
            </w:r>
          </w:p>
        </w:tc>
      </w:tr>
      <w:tr w:rsidR="00FB785E" w:rsidRPr="00777AE3" w14:paraId="200AEC9C" w14:textId="77777777" w:rsidTr="007202E4">
        <w:trPr>
          <w:jc w:val="center"/>
        </w:trPr>
        <w:tc>
          <w:tcPr>
            <w:tcW w:w="2003" w:type="dxa"/>
            <w:shd w:val="clear" w:color="auto" w:fill="auto"/>
            <w:noWrap/>
            <w:vAlign w:val="center"/>
            <w:hideMark/>
          </w:tcPr>
          <w:p w14:paraId="1AAE2A63" w14:textId="77777777" w:rsidR="00FB785E" w:rsidRPr="00777AE3" w:rsidRDefault="00FB785E" w:rsidP="007202E4">
            <w:pPr>
              <w:autoSpaceDE w:val="0"/>
              <w:autoSpaceDN w:val="0"/>
              <w:adjustRightInd w:val="0"/>
              <w:snapToGrid w:val="0"/>
              <w:spacing w:line="240" w:lineRule="auto"/>
              <w:jc w:val="left"/>
              <w:rPr>
                <w:rFonts w:eastAsia="Times New Roman" w:cstheme="minorHAnsi"/>
                <w:sz w:val="16"/>
                <w:szCs w:val="16"/>
              </w:rPr>
            </w:pPr>
            <w:r w:rsidRPr="00777AE3">
              <w:rPr>
                <w:rFonts w:eastAsia="Times New Roman" w:cstheme="minorHAnsi"/>
                <w:sz w:val="16"/>
                <w:szCs w:val="16"/>
              </w:rPr>
              <w:t>Level 3 (severe problems)</w:t>
            </w:r>
          </w:p>
        </w:tc>
        <w:tc>
          <w:tcPr>
            <w:tcW w:w="861" w:type="dxa"/>
            <w:shd w:val="clear" w:color="auto" w:fill="auto"/>
            <w:noWrap/>
            <w:vAlign w:val="center"/>
            <w:hideMark/>
          </w:tcPr>
          <w:p w14:paraId="269CD3FC"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0 [0%]</w:t>
            </w:r>
          </w:p>
        </w:tc>
        <w:tc>
          <w:tcPr>
            <w:tcW w:w="861" w:type="dxa"/>
            <w:shd w:val="clear" w:color="auto" w:fill="auto"/>
            <w:vAlign w:val="center"/>
          </w:tcPr>
          <w:p w14:paraId="697D30FA"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0 [0%]</w:t>
            </w:r>
          </w:p>
        </w:tc>
        <w:tc>
          <w:tcPr>
            <w:tcW w:w="717" w:type="dxa"/>
            <w:shd w:val="clear" w:color="auto" w:fill="auto"/>
            <w:noWrap/>
            <w:vAlign w:val="center"/>
            <w:hideMark/>
          </w:tcPr>
          <w:p w14:paraId="02CCDD23"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1 [1.28%]</w:t>
            </w:r>
          </w:p>
        </w:tc>
        <w:tc>
          <w:tcPr>
            <w:tcW w:w="860" w:type="dxa"/>
            <w:shd w:val="clear" w:color="auto" w:fill="auto"/>
            <w:vAlign w:val="center"/>
          </w:tcPr>
          <w:p w14:paraId="084C33ED"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2 [2.56%]</w:t>
            </w:r>
          </w:p>
        </w:tc>
        <w:tc>
          <w:tcPr>
            <w:tcW w:w="861" w:type="dxa"/>
            <w:shd w:val="clear" w:color="auto" w:fill="auto"/>
            <w:noWrap/>
            <w:vAlign w:val="center"/>
            <w:hideMark/>
          </w:tcPr>
          <w:p w14:paraId="6E70C504"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2 [2.56%]</w:t>
            </w:r>
          </w:p>
        </w:tc>
        <w:tc>
          <w:tcPr>
            <w:tcW w:w="860" w:type="dxa"/>
            <w:shd w:val="clear" w:color="auto" w:fill="auto"/>
            <w:vAlign w:val="center"/>
          </w:tcPr>
          <w:p w14:paraId="77432AF1"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2 [2.56%]</w:t>
            </w:r>
          </w:p>
        </w:tc>
        <w:tc>
          <w:tcPr>
            <w:tcW w:w="861" w:type="dxa"/>
            <w:shd w:val="clear" w:color="auto" w:fill="auto"/>
            <w:noWrap/>
            <w:vAlign w:val="center"/>
            <w:hideMark/>
          </w:tcPr>
          <w:p w14:paraId="66D3643F"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6 [7.69%]</w:t>
            </w:r>
          </w:p>
        </w:tc>
        <w:tc>
          <w:tcPr>
            <w:tcW w:w="860" w:type="dxa"/>
            <w:shd w:val="clear" w:color="auto" w:fill="auto"/>
            <w:vAlign w:val="center"/>
          </w:tcPr>
          <w:p w14:paraId="56B9B919"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5 [6.41%]</w:t>
            </w:r>
          </w:p>
        </w:tc>
        <w:tc>
          <w:tcPr>
            <w:tcW w:w="861" w:type="dxa"/>
            <w:shd w:val="clear" w:color="auto" w:fill="auto"/>
            <w:noWrap/>
            <w:vAlign w:val="center"/>
            <w:hideMark/>
          </w:tcPr>
          <w:p w14:paraId="2DFEE9B9"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1 [1.28%]</w:t>
            </w:r>
          </w:p>
        </w:tc>
        <w:tc>
          <w:tcPr>
            <w:tcW w:w="860" w:type="dxa"/>
            <w:shd w:val="clear" w:color="auto" w:fill="auto"/>
            <w:vAlign w:val="center"/>
          </w:tcPr>
          <w:p w14:paraId="2759186E"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3 [3.85%]</w:t>
            </w:r>
          </w:p>
        </w:tc>
      </w:tr>
      <w:tr w:rsidR="00FB785E" w:rsidRPr="00777AE3" w14:paraId="627B329D" w14:textId="77777777" w:rsidTr="007202E4">
        <w:trPr>
          <w:jc w:val="center"/>
        </w:trPr>
        <w:tc>
          <w:tcPr>
            <w:tcW w:w="2003" w:type="dxa"/>
            <w:shd w:val="clear" w:color="auto" w:fill="auto"/>
            <w:noWrap/>
            <w:vAlign w:val="center"/>
            <w:hideMark/>
          </w:tcPr>
          <w:p w14:paraId="5E23DC6F" w14:textId="77777777" w:rsidR="00FB785E" w:rsidRPr="00777AE3" w:rsidRDefault="00FB785E" w:rsidP="007202E4">
            <w:pPr>
              <w:autoSpaceDE w:val="0"/>
              <w:autoSpaceDN w:val="0"/>
              <w:adjustRightInd w:val="0"/>
              <w:snapToGrid w:val="0"/>
              <w:spacing w:line="240" w:lineRule="auto"/>
              <w:jc w:val="left"/>
              <w:rPr>
                <w:rFonts w:eastAsia="Times New Roman" w:cstheme="minorHAnsi"/>
                <w:color w:val="FFFFFF"/>
                <w:sz w:val="16"/>
                <w:szCs w:val="16"/>
              </w:rPr>
            </w:pPr>
            <w:r w:rsidRPr="00777AE3">
              <w:rPr>
                <w:rFonts w:eastAsia="Times New Roman" w:cstheme="minorHAnsi"/>
                <w:color w:val="000000" w:themeColor="text1"/>
                <w:sz w:val="16"/>
                <w:szCs w:val="16"/>
              </w:rPr>
              <w:t>Total</w:t>
            </w:r>
          </w:p>
        </w:tc>
        <w:tc>
          <w:tcPr>
            <w:tcW w:w="861" w:type="dxa"/>
            <w:shd w:val="clear" w:color="auto" w:fill="auto"/>
            <w:noWrap/>
            <w:vAlign w:val="center"/>
            <w:hideMark/>
          </w:tcPr>
          <w:p w14:paraId="20CC7E45"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78 [100%]</w:t>
            </w:r>
          </w:p>
        </w:tc>
        <w:tc>
          <w:tcPr>
            <w:tcW w:w="861" w:type="dxa"/>
            <w:shd w:val="clear" w:color="auto" w:fill="auto"/>
            <w:vAlign w:val="center"/>
          </w:tcPr>
          <w:p w14:paraId="6014DEC7"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78 [100%]</w:t>
            </w:r>
          </w:p>
        </w:tc>
        <w:tc>
          <w:tcPr>
            <w:tcW w:w="717" w:type="dxa"/>
            <w:shd w:val="clear" w:color="auto" w:fill="auto"/>
            <w:noWrap/>
            <w:vAlign w:val="center"/>
            <w:hideMark/>
          </w:tcPr>
          <w:p w14:paraId="1BB35D99"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78 [100%]</w:t>
            </w:r>
          </w:p>
        </w:tc>
        <w:tc>
          <w:tcPr>
            <w:tcW w:w="860" w:type="dxa"/>
            <w:shd w:val="clear" w:color="auto" w:fill="auto"/>
            <w:vAlign w:val="center"/>
          </w:tcPr>
          <w:p w14:paraId="4B1A803C"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78 [100%]</w:t>
            </w:r>
          </w:p>
        </w:tc>
        <w:tc>
          <w:tcPr>
            <w:tcW w:w="861" w:type="dxa"/>
            <w:shd w:val="clear" w:color="auto" w:fill="auto"/>
            <w:noWrap/>
            <w:vAlign w:val="center"/>
            <w:hideMark/>
          </w:tcPr>
          <w:p w14:paraId="52B66CD7"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78 [100%]</w:t>
            </w:r>
          </w:p>
        </w:tc>
        <w:tc>
          <w:tcPr>
            <w:tcW w:w="860" w:type="dxa"/>
            <w:shd w:val="clear" w:color="auto" w:fill="auto"/>
            <w:vAlign w:val="center"/>
          </w:tcPr>
          <w:p w14:paraId="3B7A554A"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78 [100%]</w:t>
            </w:r>
          </w:p>
        </w:tc>
        <w:tc>
          <w:tcPr>
            <w:tcW w:w="861" w:type="dxa"/>
            <w:shd w:val="clear" w:color="auto" w:fill="auto"/>
            <w:noWrap/>
            <w:vAlign w:val="center"/>
            <w:hideMark/>
          </w:tcPr>
          <w:p w14:paraId="5F26C1E9"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78 [100%]</w:t>
            </w:r>
          </w:p>
        </w:tc>
        <w:tc>
          <w:tcPr>
            <w:tcW w:w="860" w:type="dxa"/>
            <w:shd w:val="clear" w:color="auto" w:fill="auto"/>
            <w:vAlign w:val="center"/>
          </w:tcPr>
          <w:p w14:paraId="6CE9F32A"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78 [100%]</w:t>
            </w:r>
          </w:p>
        </w:tc>
        <w:tc>
          <w:tcPr>
            <w:tcW w:w="861" w:type="dxa"/>
            <w:shd w:val="clear" w:color="auto" w:fill="auto"/>
            <w:noWrap/>
            <w:vAlign w:val="center"/>
            <w:hideMark/>
          </w:tcPr>
          <w:p w14:paraId="66228532"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78 [100%]</w:t>
            </w:r>
          </w:p>
        </w:tc>
        <w:tc>
          <w:tcPr>
            <w:tcW w:w="860" w:type="dxa"/>
            <w:shd w:val="clear" w:color="auto" w:fill="auto"/>
            <w:vAlign w:val="center"/>
          </w:tcPr>
          <w:p w14:paraId="555CC194"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78 [100%]</w:t>
            </w:r>
          </w:p>
        </w:tc>
      </w:tr>
      <w:tr w:rsidR="00FB785E" w:rsidRPr="00777AE3" w14:paraId="251687FE" w14:textId="77777777" w:rsidTr="007202E4">
        <w:trPr>
          <w:jc w:val="center"/>
        </w:trPr>
        <w:tc>
          <w:tcPr>
            <w:tcW w:w="2003" w:type="dxa"/>
            <w:shd w:val="clear" w:color="auto" w:fill="auto"/>
            <w:noWrap/>
            <w:vAlign w:val="center"/>
            <w:hideMark/>
          </w:tcPr>
          <w:p w14:paraId="2B51A7CC" w14:textId="77777777" w:rsidR="00FB785E" w:rsidRPr="00777AE3" w:rsidRDefault="00FB785E" w:rsidP="007202E4">
            <w:pPr>
              <w:autoSpaceDE w:val="0"/>
              <w:autoSpaceDN w:val="0"/>
              <w:adjustRightInd w:val="0"/>
              <w:snapToGrid w:val="0"/>
              <w:spacing w:line="240" w:lineRule="auto"/>
              <w:jc w:val="left"/>
              <w:rPr>
                <w:rFonts w:eastAsia="Times New Roman" w:cstheme="minorHAnsi"/>
                <w:sz w:val="16"/>
                <w:szCs w:val="16"/>
              </w:rPr>
            </w:pPr>
            <w:r w:rsidRPr="00777AE3">
              <w:rPr>
                <w:rFonts w:eastAsia="Times New Roman" w:cstheme="minorHAnsi"/>
                <w:sz w:val="16"/>
                <w:szCs w:val="16"/>
              </w:rPr>
              <w:t>Any problem</w:t>
            </w:r>
          </w:p>
        </w:tc>
        <w:tc>
          <w:tcPr>
            <w:tcW w:w="861" w:type="dxa"/>
            <w:shd w:val="clear" w:color="auto" w:fill="auto"/>
            <w:noWrap/>
            <w:vAlign w:val="center"/>
            <w:hideMark/>
          </w:tcPr>
          <w:p w14:paraId="769F1320"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30 [38.46%]</w:t>
            </w:r>
          </w:p>
        </w:tc>
        <w:tc>
          <w:tcPr>
            <w:tcW w:w="861" w:type="dxa"/>
            <w:shd w:val="clear" w:color="auto" w:fill="auto"/>
            <w:vAlign w:val="center"/>
          </w:tcPr>
          <w:p w14:paraId="4FADA08B"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34 [43.58%]</w:t>
            </w:r>
          </w:p>
        </w:tc>
        <w:tc>
          <w:tcPr>
            <w:tcW w:w="717" w:type="dxa"/>
            <w:shd w:val="clear" w:color="auto" w:fill="auto"/>
            <w:noWrap/>
            <w:vAlign w:val="center"/>
            <w:hideMark/>
          </w:tcPr>
          <w:p w14:paraId="52F4E051"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6 [7.69%]</w:t>
            </w:r>
          </w:p>
        </w:tc>
        <w:tc>
          <w:tcPr>
            <w:tcW w:w="860" w:type="dxa"/>
            <w:shd w:val="clear" w:color="auto" w:fill="auto"/>
            <w:vAlign w:val="center"/>
          </w:tcPr>
          <w:p w14:paraId="174E6BE1"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20 [25.64%]</w:t>
            </w:r>
          </w:p>
        </w:tc>
        <w:tc>
          <w:tcPr>
            <w:tcW w:w="861" w:type="dxa"/>
            <w:shd w:val="clear" w:color="auto" w:fill="auto"/>
            <w:noWrap/>
            <w:vAlign w:val="center"/>
            <w:hideMark/>
          </w:tcPr>
          <w:p w14:paraId="368D5228"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19 [24.36%]</w:t>
            </w:r>
          </w:p>
        </w:tc>
        <w:tc>
          <w:tcPr>
            <w:tcW w:w="860" w:type="dxa"/>
            <w:shd w:val="clear" w:color="auto" w:fill="auto"/>
            <w:vAlign w:val="center"/>
          </w:tcPr>
          <w:p w14:paraId="6695A3F1"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35 [48.87%]</w:t>
            </w:r>
          </w:p>
        </w:tc>
        <w:tc>
          <w:tcPr>
            <w:tcW w:w="861" w:type="dxa"/>
            <w:shd w:val="clear" w:color="auto" w:fill="auto"/>
            <w:noWrap/>
            <w:vAlign w:val="center"/>
            <w:hideMark/>
          </w:tcPr>
          <w:p w14:paraId="15BF4578"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54 [69.23%]</w:t>
            </w:r>
          </w:p>
        </w:tc>
        <w:tc>
          <w:tcPr>
            <w:tcW w:w="860" w:type="dxa"/>
            <w:shd w:val="clear" w:color="auto" w:fill="auto"/>
            <w:vAlign w:val="center"/>
          </w:tcPr>
          <w:p w14:paraId="65D8DC2A"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52 [66.67%]</w:t>
            </w:r>
          </w:p>
        </w:tc>
        <w:tc>
          <w:tcPr>
            <w:tcW w:w="861" w:type="dxa"/>
            <w:shd w:val="clear" w:color="auto" w:fill="auto"/>
            <w:noWrap/>
            <w:vAlign w:val="center"/>
            <w:hideMark/>
          </w:tcPr>
          <w:p w14:paraId="4B8333B7"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22 [28.20%]</w:t>
            </w:r>
          </w:p>
        </w:tc>
        <w:tc>
          <w:tcPr>
            <w:tcW w:w="860" w:type="dxa"/>
            <w:shd w:val="clear" w:color="auto" w:fill="auto"/>
            <w:vAlign w:val="center"/>
          </w:tcPr>
          <w:p w14:paraId="0363C202"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19 [24.36%]</w:t>
            </w:r>
          </w:p>
        </w:tc>
      </w:tr>
      <w:tr w:rsidR="00FB785E" w:rsidRPr="00777AE3" w14:paraId="7135ABD7" w14:textId="77777777" w:rsidTr="007202E4">
        <w:trPr>
          <w:jc w:val="center"/>
        </w:trPr>
        <w:tc>
          <w:tcPr>
            <w:tcW w:w="2003" w:type="dxa"/>
            <w:shd w:val="clear" w:color="auto" w:fill="auto"/>
            <w:noWrap/>
            <w:vAlign w:val="center"/>
          </w:tcPr>
          <w:p w14:paraId="6C6BD6C4" w14:textId="77777777" w:rsidR="00FB785E" w:rsidRPr="00777AE3" w:rsidRDefault="00FB785E" w:rsidP="007202E4">
            <w:pPr>
              <w:autoSpaceDE w:val="0"/>
              <w:autoSpaceDN w:val="0"/>
              <w:adjustRightInd w:val="0"/>
              <w:snapToGrid w:val="0"/>
              <w:spacing w:line="240" w:lineRule="auto"/>
              <w:jc w:val="left"/>
              <w:rPr>
                <w:rFonts w:eastAsia="Times New Roman" w:cstheme="minorHAnsi"/>
                <w:sz w:val="16"/>
                <w:szCs w:val="16"/>
              </w:rPr>
            </w:pPr>
            <w:r w:rsidRPr="00777AE3">
              <w:rPr>
                <w:rFonts w:eastAsia="Times New Roman" w:cstheme="minorHAnsi"/>
                <w:sz w:val="16"/>
                <w:szCs w:val="16"/>
              </w:rPr>
              <w:t>Change in any problem</w:t>
            </w:r>
          </w:p>
        </w:tc>
        <w:tc>
          <w:tcPr>
            <w:tcW w:w="1722" w:type="dxa"/>
            <w:gridSpan w:val="2"/>
            <w:shd w:val="clear" w:color="auto" w:fill="auto"/>
            <w:noWrap/>
            <w:vAlign w:val="center"/>
          </w:tcPr>
          <w:p w14:paraId="001AFF97" w14:textId="77777777" w:rsidR="00FB785E" w:rsidRPr="00777AE3" w:rsidRDefault="004B3E58"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i/>
                <w:sz w:val="16"/>
                <w:szCs w:val="16"/>
              </w:rPr>
              <w:t xml:space="preserve">p </w:t>
            </w:r>
            <w:r w:rsidRPr="00777AE3">
              <w:rPr>
                <w:rFonts w:eastAsia="Times New Roman" w:cstheme="minorHAnsi"/>
                <w:sz w:val="16"/>
                <w:szCs w:val="16"/>
              </w:rPr>
              <w:t>=</w:t>
            </w:r>
            <w:r w:rsidRPr="00777AE3">
              <w:rPr>
                <w:rFonts w:eastAsia="Times New Roman" w:cstheme="minorHAnsi"/>
                <w:i/>
                <w:sz w:val="16"/>
                <w:szCs w:val="16"/>
              </w:rPr>
              <w:t xml:space="preserve"> </w:t>
            </w:r>
            <w:r w:rsidRPr="00777AE3">
              <w:rPr>
                <w:rFonts w:eastAsia="Times New Roman" w:cstheme="minorHAnsi"/>
                <w:sz w:val="16"/>
                <w:szCs w:val="16"/>
              </w:rPr>
              <w:t>0</w:t>
            </w:r>
            <w:r w:rsidR="00FB785E" w:rsidRPr="00777AE3">
              <w:rPr>
                <w:rFonts w:eastAsia="Times New Roman" w:cstheme="minorHAnsi"/>
                <w:sz w:val="16"/>
                <w:szCs w:val="16"/>
              </w:rPr>
              <w:t>.63</w:t>
            </w:r>
          </w:p>
        </w:tc>
        <w:tc>
          <w:tcPr>
            <w:tcW w:w="1577" w:type="dxa"/>
            <w:gridSpan w:val="2"/>
            <w:shd w:val="clear" w:color="auto" w:fill="auto"/>
            <w:noWrap/>
            <w:vAlign w:val="center"/>
          </w:tcPr>
          <w:p w14:paraId="26CBE400" w14:textId="77777777" w:rsidR="00FB785E" w:rsidRPr="00777AE3" w:rsidRDefault="004B3E58" w:rsidP="007202E4">
            <w:pPr>
              <w:autoSpaceDE w:val="0"/>
              <w:autoSpaceDN w:val="0"/>
              <w:adjustRightInd w:val="0"/>
              <w:snapToGrid w:val="0"/>
              <w:spacing w:line="240" w:lineRule="auto"/>
              <w:jc w:val="center"/>
              <w:rPr>
                <w:rFonts w:eastAsia="Times New Roman" w:cstheme="minorHAnsi"/>
                <w:b/>
                <w:sz w:val="16"/>
                <w:szCs w:val="16"/>
              </w:rPr>
            </w:pPr>
            <w:r w:rsidRPr="00777AE3">
              <w:rPr>
                <w:rFonts w:eastAsia="Times New Roman" w:cstheme="minorHAnsi"/>
                <w:b/>
                <w:i/>
                <w:sz w:val="16"/>
                <w:szCs w:val="16"/>
              </w:rPr>
              <w:t xml:space="preserve">p </w:t>
            </w:r>
            <w:r w:rsidRPr="00777AE3">
              <w:rPr>
                <w:rFonts w:eastAsia="Times New Roman" w:cstheme="minorHAnsi"/>
                <w:b/>
                <w:sz w:val="16"/>
                <w:szCs w:val="16"/>
              </w:rPr>
              <w:t>=</w:t>
            </w:r>
            <w:r w:rsidRPr="00777AE3">
              <w:rPr>
                <w:rFonts w:eastAsia="Times New Roman" w:cstheme="minorHAnsi"/>
                <w:b/>
                <w:i/>
                <w:sz w:val="16"/>
                <w:szCs w:val="16"/>
              </w:rPr>
              <w:t xml:space="preserve"> </w:t>
            </w:r>
            <w:r w:rsidRPr="00777AE3">
              <w:rPr>
                <w:rFonts w:eastAsia="Times New Roman" w:cstheme="minorHAnsi"/>
                <w:b/>
                <w:sz w:val="16"/>
                <w:szCs w:val="16"/>
              </w:rPr>
              <w:t>0</w:t>
            </w:r>
            <w:r w:rsidR="00FB785E" w:rsidRPr="00777AE3">
              <w:rPr>
                <w:rFonts w:eastAsia="Times New Roman" w:cstheme="minorHAnsi"/>
                <w:b/>
                <w:sz w:val="16"/>
                <w:szCs w:val="16"/>
              </w:rPr>
              <w:t>.005</w:t>
            </w:r>
          </w:p>
        </w:tc>
        <w:tc>
          <w:tcPr>
            <w:tcW w:w="1721" w:type="dxa"/>
            <w:gridSpan w:val="2"/>
            <w:shd w:val="clear" w:color="auto" w:fill="auto"/>
            <w:noWrap/>
            <w:vAlign w:val="center"/>
          </w:tcPr>
          <w:p w14:paraId="76F6AAEA" w14:textId="77777777" w:rsidR="00FB785E" w:rsidRPr="00777AE3" w:rsidRDefault="004B3E58" w:rsidP="007202E4">
            <w:pPr>
              <w:autoSpaceDE w:val="0"/>
              <w:autoSpaceDN w:val="0"/>
              <w:adjustRightInd w:val="0"/>
              <w:snapToGrid w:val="0"/>
              <w:spacing w:line="240" w:lineRule="auto"/>
              <w:jc w:val="center"/>
              <w:rPr>
                <w:rFonts w:eastAsia="Times New Roman" w:cstheme="minorHAnsi"/>
                <w:b/>
                <w:sz w:val="16"/>
                <w:szCs w:val="16"/>
              </w:rPr>
            </w:pPr>
            <w:r w:rsidRPr="00777AE3">
              <w:rPr>
                <w:rFonts w:eastAsia="Times New Roman" w:cstheme="minorHAnsi"/>
                <w:b/>
                <w:i/>
                <w:sz w:val="16"/>
                <w:szCs w:val="16"/>
              </w:rPr>
              <w:t xml:space="preserve">p </w:t>
            </w:r>
            <w:r w:rsidRPr="00777AE3">
              <w:rPr>
                <w:rFonts w:eastAsia="Times New Roman" w:cstheme="minorHAnsi"/>
                <w:b/>
                <w:sz w:val="16"/>
                <w:szCs w:val="16"/>
              </w:rPr>
              <w:t>=</w:t>
            </w:r>
            <w:r w:rsidRPr="00777AE3">
              <w:rPr>
                <w:rFonts w:eastAsia="Times New Roman" w:cstheme="minorHAnsi"/>
                <w:b/>
                <w:i/>
                <w:sz w:val="16"/>
                <w:szCs w:val="16"/>
              </w:rPr>
              <w:t xml:space="preserve"> </w:t>
            </w:r>
            <w:r w:rsidRPr="00777AE3">
              <w:rPr>
                <w:rFonts w:eastAsia="Times New Roman" w:cstheme="minorHAnsi"/>
                <w:b/>
                <w:sz w:val="16"/>
                <w:szCs w:val="16"/>
              </w:rPr>
              <w:t>0</w:t>
            </w:r>
            <w:r w:rsidR="00FB785E" w:rsidRPr="00777AE3">
              <w:rPr>
                <w:rFonts w:eastAsia="Times New Roman" w:cstheme="minorHAnsi"/>
                <w:b/>
                <w:sz w:val="16"/>
                <w:szCs w:val="16"/>
              </w:rPr>
              <w:t>.01</w:t>
            </w:r>
          </w:p>
        </w:tc>
        <w:tc>
          <w:tcPr>
            <w:tcW w:w="1721" w:type="dxa"/>
            <w:gridSpan w:val="2"/>
            <w:shd w:val="clear" w:color="auto" w:fill="auto"/>
            <w:noWrap/>
            <w:vAlign w:val="center"/>
          </w:tcPr>
          <w:p w14:paraId="7007D634" w14:textId="77777777" w:rsidR="00FB785E" w:rsidRPr="00777AE3" w:rsidRDefault="004B3E58"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i/>
                <w:sz w:val="16"/>
                <w:szCs w:val="16"/>
              </w:rPr>
              <w:t xml:space="preserve">p </w:t>
            </w:r>
            <w:r w:rsidRPr="00777AE3">
              <w:rPr>
                <w:rFonts w:eastAsia="Times New Roman" w:cstheme="minorHAnsi"/>
                <w:sz w:val="16"/>
                <w:szCs w:val="16"/>
              </w:rPr>
              <w:t>=</w:t>
            </w:r>
            <w:r w:rsidRPr="00777AE3">
              <w:rPr>
                <w:rFonts w:eastAsia="Times New Roman" w:cstheme="minorHAnsi"/>
                <w:i/>
                <w:sz w:val="16"/>
                <w:szCs w:val="16"/>
              </w:rPr>
              <w:t xml:space="preserve"> </w:t>
            </w:r>
            <w:r w:rsidRPr="00777AE3">
              <w:rPr>
                <w:rFonts w:eastAsia="Times New Roman" w:cstheme="minorHAnsi"/>
                <w:sz w:val="16"/>
                <w:szCs w:val="16"/>
              </w:rPr>
              <w:t>0</w:t>
            </w:r>
            <w:r w:rsidR="00FB785E" w:rsidRPr="00777AE3">
              <w:rPr>
                <w:rFonts w:eastAsia="Times New Roman" w:cstheme="minorHAnsi"/>
                <w:sz w:val="16"/>
                <w:szCs w:val="16"/>
              </w:rPr>
              <w:t>.86</w:t>
            </w:r>
          </w:p>
        </w:tc>
        <w:tc>
          <w:tcPr>
            <w:tcW w:w="1721" w:type="dxa"/>
            <w:gridSpan w:val="2"/>
            <w:shd w:val="clear" w:color="auto" w:fill="auto"/>
            <w:noWrap/>
            <w:vAlign w:val="center"/>
          </w:tcPr>
          <w:p w14:paraId="77B18B30" w14:textId="77777777" w:rsidR="00FB785E" w:rsidRPr="00777AE3" w:rsidRDefault="004B3E58"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i/>
                <w:sz w:val="16"/>
                <w:szCs w:val="16"/>
              </w:rPr>
              <w:t xml:space="preserve">p </w:t>
            </w:r>
            <w:r w:rsidRPr="00777AE3">
              <w:rPr>
                <w:rFonts w:eastAsia="Times New Roman" w:cstheme="minorHAnsi"/>
                <w:sz w:val="16"/>
                <w:szCs w:val="16"/>
              </w:rPr>
              <w:t>=</w:t>
            </w:r>
            <w:r w:rsidRPr="00777AE3">
              <w:rPr>
                <w:rFonts w:eastAsia="Times New Roman" w:cstheme="minorHAnsi"/>
                <w:i/>
                <w:sz w:val="16"/>
                <w:szCs w:val="16"/>
              </w:rPr>
              <w:t xml:space="preserve"> </w:t>
            </w:r>
            <w:r w:rsidRPr="00777AE3">
              <w:rPr>
                <w:rFonts w:eastAsia="Times New Roman" w:cstheme="minorHAnsi"/>
                <w:sz w:val="16"/>
                <w:szCs w:val="16"/>
              </w:rPr>
              <w:t>0</w:t>
            </w:r>
            <w:r w:rsidR="00FB785E" w:rsidRPr="00777AE3">
              <w:rPr>
                <w:rFonts w:eastAsia="Times New Roman" w:cstheme="minorHAnsi"/>
                <w:sz w:val="16"/>
                <w:szCs w:val="16"/>
              </w:rPr>
              <w:t>.72</w:t>
            </w:r>
          </w:p>
        </w:tc>
      </w:tr>
      <w:tr w:rsidR="00FB785E" w:rsidRPr="00777AE3" w14:paraId="4A6A0ED7" w14:textId="77777777" w:rsidTr="007202E4">
        <w:trPr>
          <w:jc w:val="center"/>
        </w:trPr>
        <w:tc>
          <w:tcPr>
            <w:tcW w:w="2003" w:type="dxa"/>
            <w:shd w:val="clear" w:color="auto" w:fill="auto"/>
            <w:noWrap/>
            <w:vAlign w:val="center"/>
          </w:tcPr>
          <w:p w14:paraId="330E5D9A" w14:textId="77777777" w:rsidR="00FB785E" w:rsidRPr="00777AE3" w:rsidRDefault="00FB785E" w:rsidP="007202E4">
            <w:pPr>
              <w:autoSpaceDE w:val="0"/>
              <w:autoSpaceDN w:val="0"/>
              <w:adjustRightInd w:val="0"/>
              <w:snapToGrid w:val="0"/>
              <w:spacing w:line="240" w:lineRule="auto"/>
              <w:jc w:val="left"/>
              <w:rPr>
                <w:rFonts w:cstheme="minorHAnsi"/>
                <w:sz w:val="16"/>
                <w:szCs w:val="16"/>
              </w:rPr>
            </w:pPr>
            <w:r w:rsidRPr="00777AE3">
              <w:rPr>
                <w:rFonts w:eastAsia="Times New Roman" w:cstheme="minorHAnsi"/>
                <w:sz w:val="16"/>
                <w:szCs w:val="16"/>
              </w:rPr>
              <w:t>Any problem:</w:t>
            </w:r>
            <w:r w:rsidRPr="00777AE3">
              <w:rPr>
                <w:rFonts w:cstheme="minorHAnsi"/>
                <w:sz w:val="16"/>
                <w:szCs w:val="16"/>
              </w:rPr>
              <w:t xml:space="preserve"> Spanish 2012-NHS</w:t>
            </w:r>
          </w:p>
        </w:tc>
        <w:tc>
          <w:tcPr>
            <w:tcW w:w="1722" w:type="dxa"/>
            <w:gridSpan w:val="2"/>
            <w:shd w:val="clear" w:color="auto" w:fill="auto"/>
            <w:noWrap/>
            <w:vAlign w:val="center"/>
          </w:tcPr>
          <w:p w14:paraId="4929B895"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49.27%</w:t>
            </w:r>
          </w:p>
        </w:tc>
        <w:tc>
          <w:tcPr>
            <w:tcW w:w="1577" w:type="dxa"/>
            <w:gridSpan w:val="2"/>
            <w:shd w:val="clear" w:color="auto" w:fill="auto"/>
            <w:noWrap/>
            <w:vAlign w:val="center"/>
          </w:tcPr>
          <w:p w14:paraId="609B0B96"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27.39%</w:t>
            </w:r>
          </w:p>
        </w:tc>
        <w:tc>
          <w:tcPr>
            <w:tcW w:w="1721" w:type="dxa"/>
            <w:gridSpan w:val="2"/>
            <w:shd w:val="clear" w:color="auto" w:fill="auto"/>
            <w:noWrap/>
            <w:vAlign w:val="center"/>
          </w:tcPr>
          <w:p w14:paraId="37186311"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39.27%</w:t>
            </w:r>
          </w:p>
        </w:tc>
        <w:tc>
          <w:tcPr>
            <w:tcW w:w="1721" w:type="dxa"/>
            <w:gridSpan w:val="2"/>
            <w:shd w:val="clear" w:color="auto" w:fill="auto"/>
            <w:noWrap/>
            <w:vAlign w:val="center"/>
          </w:tcPr>
          <w:p w14:paraId="3D9D5A65"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53.85%</w:t>
            </w:r>
          </w:p>
        </w:tc>
        <w:tc>
          <w:tcPr>
            <w:tcW w:w="1721" w:type="dxa"/>
            <w:gridSpan w:val="2"/>
            <w:shd w:val="clear" w:color="auto" w:fill="auto"/>
            <w:noWrap/>
            <w:vAlign w:val="center"/>
          </w:tcPr>
          <w:p w14:paraId="58A198A6"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24.81%</w:t>
            </w:r>
          </w:p>
        </w:tc>
      </w:tr>
      <w:tr w:rsidR="00FB785E" w:rsidRPr="00777AE3" w14:paraId="3B96E6A4" w14:textId="77777777" w:rsidTr="007202E4">
        <w:trPr>
          <w:jc w:val="center"/>
        </w:trPr>
        <w:tc>
          <w:tcPr>
            <w:tcW w:w="2003" w:type="dxa"/>
            <w:shd w:val="clear" w:color="auto" w:fill="auto"/>
            <w:noWrap/>
            <w:vAlign w:val="center"/>
            <w:hideMark/>
          </w:tcPr>
          <w:p w14:paraId="61C83594" w14:textId="77777777" w:rsidR="00FB785E" w:rsidRPr="00777AE3" w:rsidRDefault="00FB785E" w:rsidP="007202E4">
            <w:pPr>
              <w:autoSpaceDE w:val="0"/>
              <w:autoSpaceDN w:val="0"/>
              <w:adjustRightInd w:val="0"/>
              <w:snapToGrid w:val="0"/>
              <w:spacing w:line="240" w:lineRule="auto"/>
              <w:jc w:val="left"/>
              <w:rPr>
                <w:rFonts w:cstheme="minorHAnsi"/>
                <w:sz w:val="16"/>
                <w:szCs w:val="16"/>
              </w:rPr>
            </w:pPr>
            <w:r w:rsidRPr="00777AE3">
              <w:rPr>
                <w:rFonts w:eastAsia="Times New Roman" w:cstheme="minorHAnsi"/>
                <w:sz w:val="16"/>
                <w:szCs w:val="16"/>
              </w:rPr>
              <w:t>*</w:t>
            </w:r>
            <w:r w:rsidR="00C708D1" w:rsidRPr="00777AE3">
              <w:rPr>
                <w:rFonts w:eastAsia="Times New Roman" w:cstheme="minorHAnsi"/>
                <w:sz w:val="16"/>
                <w:szCs w:val="16"/>
              </w:rPr>
              <w:t xml:space="preserve"> </w:t>
            </w:r>
            <w:r w:rsidRPr="00777AE3">
              <w:rPr>
                <w:rFonts w:eastAsia="Times New Roman" w:cstheme="minorHAnsi"/>
                <w:sz w:val="16"/>
                <w:szCs w:val="16"/>
              </w:rPr>
              <w:t xml:space="preserve">Comparison of our sample with the </w:t>
            </w:r>
            <w:r w:rsidRPr="00777AE3">
              <w:rPr>
                <w:rFonts w:cstheme="minorHAnsi"/>
                <w:sz w:val="16"/>
                <w:szCs w:val="16"/>
              </w:rPr>
              <w:t>Spanish 2012-NHS population (</w:t>
            </w:r>
            <w:r w:rsidR="00043EA3" w:rsidRPr="00777AE3">
              <w:rPr>
                <w:rFonts w:cstheme="minorHAnsi"/>
                <w:i/>
                <w:sz w:val="16"/>
                <w:szCs w:val="16"/>
              </w:rPr>
              <w:t>p</w:t>
            </w:r>
            <w:r w:rsidRPr="00777AE3">
              <w:rPr>
                <w:rFonts w:cstheme="minorHAnsi"/>
                <w:sz w:val="16"/>
                <w:szCs w:val="16"/>
              </w:rPr>
              <w:t xml:space="preserve"> value)</w:t>
            </w:r>
          </w:p>
        </w:tc>
        <w:tc>
          <w:tcPr>
            <w:tcW w:w="861" w:type="dxa"/>
            <w:shd w:val="clear" w:color="auto" w:fill="auto"/>
            <w:noWrap/>
            <w:vAlign w:val="center"/>
            <w:hideMark/>
          </w:tcPr>
          <w:p w14:paraId="58BC690C"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0.072</w:t>
            </w:r>
          </w:p>
        </w:tc>
        <w:tc>
          <w:tcPr>
            <w:tcW w:w="861" w:type="dxa"/>
            <w:shd w:val="clear" w:color="auto" w:fill="auto"/>
            <w:vAlign w:val="center"/>
          </w:tcPr>
          <w:p w14:paraId="4F16DBFB"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0.374</w:t>
            </w:r>
          </w:p>
        </w:tc>
        <w:tc>
          <w:tcPr>
            <w:tcW w:w="717" w:type="dxa"/>
            <w:shd w:val="clear" w:color="auto" w:fill="auto"/>
            <w:noWrap/>
            <w:vAlign w:val="center"/>
            <w:hideMark/>
          </w:tcPr>
          <w:p w14:paraId="3B02183B" w14:textId="77777777" w:rsidR="00FB785E" w:rsidRPr="00777AE3" w:rsidRDefault="00FB785E" w:rsidP="007202E4">
            <w:pPr>
              <w:autoSpaceDE w:val="0"/>
              <w:autoSpaceDN w:val="0"/>
              <w:adjustRightInd w:val="0"/>
              <w:snapToGrid w:val="0"/>
              <w:spacing w:line="240" w:lineRule="auto"/>
              <w:jc w:val="center"/>
              <w:rPr>
                <w:rFonts w:eastAsia="Times New Roman" w:cstheme="minorHAnsi"/>
                <w:b/>
                <w:sz w:val="16"/>
                <w:szCs w:val="16"/>
              </w:rPr>
            </w:pPr>
            <w:r w:rsidRPr="00777AE3">
              <w:rPr>
                <w:rFonts w:eastAsia="Times New Roman" w:cstheme="minorHAnsi"/>
                <w:b/>
                <w:sz w:val="16"/>
                <w:szCs w:val="16"/>
              </w:rPr>
              <w:t>&lt;0.001</w:t>
            </w:r>
          </w:p>
        </w:tc>
        <w:tc>
          <w:tcPr>
            <w:tcW w:w="860" w:type="dxa"/>
            <w:shd w:val="clear" w:color="auto" w:fill="auto"/>
            <w:vAlign w:val="center"/>
          </w:tcPr>
          <w:p w14:paraId="5A68666D"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0.841</w:t>
            </w:r>
          </w:p>
        </w:tc>
        <w:tc>
          <w:tcPr>
            <w:tcW w:w="861" w:type="dxa"/>
            <w:shd w:val="clear" w:color="auto" w:fill="auto"/>
            <w:noWrap/>
            <w:vAlign w:val="center"/>
            <w:hideMark/>
          </w:tcPr>
          <w:p w14:paraId="722E3903" w14:textId="77777777" w:rsidR="00FB785E" w:rsidRPr="00777AE3" w:rsidRDefault="00FB785E" w:rsidP="007202E4">
            <w:pPr>
              <w:autoSpaceDE w:val="0"/>
              <w:autoSpaceDN w:val="0"/>
              <w:adjustRightInd w:val="0"/>
              <w:snapToGrid w:val="0"/>
              <w:spacing w:line="240" w:lineRule="auto"/>
              <w:jc w:val="center"/>
              <w:rPr>
                <w:rFonts w:eastAsia="Times New Roman" w:cstheme="minorHAnsi"/>
                <w:b/>
                <w:sz w:val="16"/>
                <w:szCs w:val="16"/>
              </w:rPr>
            </w:pPr>
            <w:r w:rsidRPr="00777AE3">
              <w:rPr>
                <w:rFonts w:eastAsia="Times New Roman" w:cstheme="minorHAnsi"/>
                <w:b/>
                <w:sz w:val="16"/>
                <w:szCs w:val="16"/>
              </w:rPr>
              <w:t>0.008</w:t>
            </w:r>
          </w:p>
        </w:tc>
        <w:tc>
          <w:tcPr>
            <w:tcW w:w="860" w:type="dxa"/>
            <w:shd w:val="clear" w:color="auto" w:fill="auto"/>
            <w:vAlign w:val="center"/>
          </w:tcPr>
          <w:p w14:paraId="724E2AFD"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0.369</w:t>
            </w:r>
          </w:p>
        </w:tc>
        <w:tc>
          <w:tcPr>
            <w:tcW w:w="861" w:type="dxa"/>
            <w:shd w:val="clear" w:color="auto" w:fill="auto"/>
            <w:noWrap/>
            <w:vAlign w:val="center"/>
          </w:tcPr>
          <w:p w14:paraId="3BD41256" w14:textId="77777777" w:rsidR="00FB785E" w:rsidRPr="00777AE3" w:rsidRDefault="00FB785E" w:rsidP="007202E4">
            <w:pPr>
              <w:autoSpaceDE w:val="0"/>
              <w:autoSpaceDN w:val="0"/>
              <w:adjustRightInd w:val="0"/>
              <w:snapToGrid w:val="0"/>
              <w:spacing w:line="240" w:lineRule="auto"/>
              <w:jc w:val="center"/>
              <w:rPr>
                <w:rFonts w:eastAsia="Times New Roman" w:cstheme="minorHAnsi"/>
                <w:b/>
                <w:sz w:val="16"/>
                <w:szCs w:val="16"/>
              </w:rPr>
            </w:pPr>
            <w:r w:rsidRPr="00777AE3">
              <w:rPr>
                <w:rFonts w:eastAsia="Times New Roman" w:cstheme="minorHAnsi"/>
                <w:b/>
                <w:sz w:val="16"/>
                <w:szCs w:val="16"/>
              </w:rPr>
              <w:t>0.008</w:t>
            </w:r>
          </w:p>
        </w:tc>
        <w:tc>
          <w:tcPr>
            <w:tcW w:w="860" w:type="dxa"/>
            <w:shd w:val="clear" w:color="auto" w:fill="auto"/>
            <w:vAlign w:val="center"/>
          </w:tcPr>
          <w:p w14:paraId="51D052C5" w14:textId="77777777" w:rsidR="00FB785E" w:rsidRPr="00777AE3" w:rsidRDefault="00FB785E" w:rsidP="007202E4">
            <w:pPr>
              <w:autoSpaceDE w:val="0"/>
              <w:autoSpaceDN w:val="0"/>
              <w:adjustRightInd w:val="0"/>
              <w:snapToGrid w:val="0"/>
              <w:spacing w:line="240" w:lineRule="auto"/>
              <w:jc w:val="center"/>
              <w:rPr>
                <w:rFonts w:eastAsia="Times New Roman" w:cstheme="minorHAnsi"/>
                <w:b/>
                <w:sz w:val="16"/>
                <w:szCs w:val="16"/>
              </w:rPr>
            </w:pPr>
            <w:r w:rsidRPr="00777AE3">
              <w:rPr>
                <w:rFonts w:eastAsia="Times New Roman" w:cstheme="minorHAnsi"/>
                <w:b/>
                <w:sz w:val="16"/>
                <w:szCs w:val="16"/>
              </w:rPr>
              <w:t>0.029</w:t>
            </w:r>
          </w:p>
        </w:tc>
        <w:tc>
          <w:tcPr>
            <w:tcW w:w="861" w:type="dxa"/>
            <w:shd w:val="clear" w:color="auto" w:fill="auto"/>
            <w:noWrap/>
            <w:vAlign w:val="center"/>
          </w:tcPr>
          <w:p w14:paraId="40042E20"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0.563</w:t>
            </w:r>
          </w:p>
        </w:tc>
        <w:tc>
          <w:tcPr>
            <w:tcW w:w="860" w:type="dxa"/>
            <w:shd w:val="clear" w:color="auto" w:fill="auto"/>
            <w:vAlign w:val="center"/>
          </w:tcPr>
          <w:p w14:paraId="7B6A644D" w14:textId="77777777" w:rsidR="00FB785E" w:rsidRPr="00777AE3" w:rsidRDefault="00FB785E" w:rsidP="007202E4">
            <w:pPr>
              <w:autoSpaceDE w:val="0"/>
              <w:autoSpaceDN w:val="0"/>
              <w:adjustRightInd w:val="0"/>
              <w:snapToGrid w:val="0"/>
              <w:spacing w:line="240" w:lineRule="auto"/>
              <w:jc w:val="center"/>
              <w:rPr>
                <w:rFonts w:eastAsia="Times New Roman" w:cstheme="minorHAnsi"/>
                <w:sz w:val="16"/>
                <w:szCs w:val="16"/>
              </w:rPr>
            </w:pPr>
            <w:r w:rsidRPr="00777AE3">
              <w:rPr>
                <w:rFonts w:eastAsia="Times New Roman" w:cstheme="minorHAnsi"/>
                <w:sz w:val="16"/>
                <w:szCs w:val="16"/>
              </w:rPr>
              <w:t>1</w:t>
            </w:r>
          </w:p>
        </w:tc>
      </w:tr>
    </w:tbl>
    <w:p w14:paraId="271B0768" w14:textId="77777777" w:rsidR="00FB785E" w:rsidRPr="004825BB" w:rsidRDefault="00FB785E" w:rsidP="007202E4">
      <w:pPr>
        <w:pStyle w:val="MDPI43tablefooter"/>
        <w:spacing w:after="240"/>
      </w:pPr>
      <w:r w:rsidRPr="004825BB">
        <w:t>EQ-5D-3L numbers and frequencies by dimension and level</w:t>
      </w:r>
      <w:r w:rsidR="005E52DA">
        <w:t xml:space="preserve"> in</w:t>
      </w:r>
      <w:r w:rsidRPr="004825BB">
        <w:t xml:space="preserve"> initial and final survey</w:t>
      </w:r>
      <w:r w:rsidR="005E52DA">
        <w:t>s</w:t>
      </w:r>
      <w:r w:rsidRPr="004825BB">
        <w:t>. Any problem</w:t>
      </w:r>
      <w:r w:rsidR="00E00AC1" w:rsidRPr="004825BB">
        <w:t xml:space="preserve"> </w:t>
      </w:r>
      <w:r w:rsidRPr="004825BB">
        <w:t>= level</w:t>
      </w:r>
      <w:r w:rsidR="00CA0FE4">
        <w:t>s</w:t>
      </w:r>
      <w:r w:rsidRPr="004825BB">
        <w:t xml:space="preserve"> </w:t>
      </w:r>
      <w:r w:rsidR="004B3E58" w:rsidRPr="004825BB">
        <w:t>2 + 3</w:t>
      </w:r>
      <w:r w:rsidRPr="004825BB">
        <w:t xml:space="preserve">. </w:t>
      </w:r>
      <w:r w:rsidR="007972D3">
        <w:t>P</w:t>
      </w:r>
      <w:r w:rsidRPr="004825BB">
        <w:t>roportions reporting levels within the EQ-5D dimensions of an age-matched population based on the Spanish 2012</w:t>
      </w:r>
      <w:r w:rsidR="007972D3">
        <w:t xml:space="preserve"> </w:t>
      </w:r>
      <w:r w:rsidRPr="004825BB">
        <w:t>National Health Survey (NHS). * Comparison</w:t>
      </w:r>
      <w:r w:rsidRPr="004825BB">
        <w:rPr>
          <w:rFonts w:eastAsia="Calibri"/>
        </w:rPr>
        <w:t xml:space="preserve"> of</w:t>
      </w:r>
      <w:r w:rsidRPr="004825BB">
        <w:t xml:space="preserve"> EQ-5D-3L </w:t>
      </w:r>
      <w:r w:rsidRPr="004825BB">
        <w:rPr>
          <w:rFonts w:eastAsia="Calibri"/>
        </w:rPr>
        <w:t xml:space="preserve">for </w:t>
      </w:r>
      <w:r w:rsidR="00031496">
        <w:rPr>
          <w:rFonts w:eastAsia="Calibri"/>
        </w:rPr>
        <w:t xml:space="preserve">the </w:t>
      </w:r>
      <w:r w:rsidRPr="004825BB">
        <w:t>any</w:t>
      </w:r>
      <w:r w:rsidR="00031496">
        <w:t>-</w:t>
      </w:r>
      <w:r w:rsidRPr="004825BB">
        <w:t>problem results of our sample with an age-matched population based on the Spanish 2012</w:t>
      </w:r>
      <w:r w:rsidRPr="004825BB">
        <w:rPr>
          <w:rFonts w:eastAsia="Calibri"/>
        </w:rPr>
        <w:t xml:space="preserve"> </w:t>
      </w:r>
      <w:r w:rsidRPr="004825BB">
        <w:t>National Health Survey (NHS). Bold denotes significant values.</w:t>
      </w:r>
    </w:p>
    <w:p w14:paraId="52F7F4DA" w14:textId="77777777" w:rsidR="00F07CEB" w:rsidRPr="004825BB" w:rsidRDefault="00FB785E" w:rsidP="007202E4">
      <w:pPr>
        <w:pStyle w:val="MDPI31text"/>
      </w:pPr>
      <w:r w:rsidRPr="004825BB">
        <w:t xml:space="preserve">Comparing the results for </w:t>
      </w:r>
      <w:proofErr w:type="spellStart"/>
      <w:r w:rsidRPr="004825BB">
        <w:t>HRQoL</w:t>
      </w:r>
      <w:proofErr w:type="spellEnd"/>
      <w:r w:rsidRPr="004825BB">
        <w:t xml:space="preserve"> of the present sample with an age-matched sample based on the Spanish 2012</w:t>
      </w:r>
      <w:r w:rsidR="00BA1EDB">
        <w:t xml:space="preserve"> </w:t>
      </w:r>
      <w:r w:rsidRPr="004825BB">
        <w:t>National Health Survey, we found significant differences in the pre-COVID assessment of “self-care”, “usual activities”</w:t>
      </w:r>
      <w:r w:rsidR="00A63F61">
        <w:t>,</w:t>
      </w:r>
      <w:r w:rsidRPr="004825BB">
        <w:t xml:space="preserve"> and “pain discomfort”, which were better in our sample. Nevertheless, there were no differences in mean scores in any descriptive system between the Spanish 2012 National Health Survey and the final survey except for “pain and discomfort”, which was worse in our sample (Table 2). Figure 1 shows a descriptive graphic comparing the present sample with an age-matched sample separated by sex, based on the Spanish 2012 National Health Survey.</w:t>
      </w:r>
    </w:p>
    <w:p w14:paraId="0D792165" w14:textId="77777777" w:rsidR="00FB785E" w:rsidRPr="004825BB" w:rsidRDefault="000F472E" w:rsidP="00085A78">
      <w:pPr>
        <w:pStyle w:val="MDPI52figure"/>
        <w:ind w:left="2608"/>
        <w:jc w:val="left"/>
      </w:pPr>
      <w:r>
        <w:rPr>
          <w:noProof/>
          <w:lang w:val="es-ES_tradnl" w:eastAsia="es-ES_tradnl" w:bidi="ar-SA"/>
        </w:rPr>
        <w:lastRenderedPageBreak/>
        <w:drawing>
          <wp:inline distT="0" distB="0" distL="0" distR="0" wp14:anchorId="45A52D9A" wp14:editId="6CD3456F">
            <wp:extent cx="4739640" cy="6427470"/>
            <wp:effectExtent l="0" t="0" r="10160" b="0"/>
            <wp:docPr id="3" name="Imagen 3" descr="../../../../../../../Documents/Publicaciones/JCM%20calidad%20de%20vida/figure%201%20c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Publicaciones/JCM%20calidad%20de%20vida/figure%201%20cop"/>
                    <pic:cNvPicPr>
                      <a:picLocks noChangeAspect="1" noChangeArrowheads="1"/>
                    </pic:cNvPicPr>
                  </pic:nvPicPr>
                  <pic:blipFill rotWithShape="1">
                    <a:blip r:embed="rId12">
                      <a:extLst>
                        <a:ext uri="{28A0092B-C50C-407E-A947-70E740481C1C}">
                          <a14:useLocalDpi xmlns:a14="http://schemas.microsoft.com/office/drawing/2010/main" val="0"/>
                        </a:ext>
                      </a:extLst>
                    </a:blip>
                    <a:srcRect l="16499" t="15034" r="12136" b="12369"/>
                    <a:stretch/>
                  </pic:blipFill>
                  <pic:spPr bwMode="auto">
                    <a:xfrm>
                      <a:off x="0" y="0"/>
                      <a:ext cx="4739640" cy="6427470"/>
                    </a:xfrm>
                    <a:prstGeom prst="rect">
                      <a:avLst/>
                    </a:prstGeom>
                    <a:noFill/>
                    <a:ln>
                      <a:noFill/>
                    </a:ln>
                    <a:extLst>
                      <a:ext uri="{53640926-AAD7-44D8-BBD7-CCE9431645EC}">
                        <a14:shadowObscured xmlns:a14="http://schemas.microsoft.com/office/drawing/2010/main"/>
                      </a:ext>
                    </a:extLst>
                  </pic:spPr>
                </pic:pic>
              </a:graphicData>
            </a:graphic>
          </wp:inline>
        </w:drawing>
      </w:r>
    </w:p>
    <w:p w14:paraId="7B02DD21" w14:textId="77777777" w:rsidR="00FB785E" w:rsidRPr="004825BB" w:rsidRDefault="007202E4" w:rsidP="007202E4">
      <w:pPr>
        <w:pStyle w:val="MDPI51figurecaption"/>
        <w:jc w:val="both"/>
        <w:rPr>
          <w:bCs/>
        </w:rPr>
      </w:pPr>
      <w:commentRangeStart w:id="45"/>
      <w:commentRangeStart w:id="46"/>
      <w:r w:rsidRPr="004825BB">
        <w:rPr>
          <w:b/>
          <w:highlight w:val="yellow"/>
        </w:rPr>
        <w:t xml:space="preserve">Figure 1. </w:t>
      </w:r>
      <w:commentRangeEnd w:id="45"/>
      <w:r w:rsidR="00C16CE3" w:rsidRPr="004825BB">
        <w:rPr>
          <w:rStyle w:val="Refdecomentario"/>
          <w:rFonts w:eastAsia="SimSun"/>
          <w:kern w:val="0"/>
          <w:lang w:eastAsia="zh-CN" w:bidi="ar-SA"/>
          <w14:ligatures w14:val="none"/>
        </w:rPr>
        <w:commentReference w:id="45"/>
      </w:r>
      <w:commentRangeEnd w:id="46"/>
      <w:r w:rsidR="000F472E">
        <w:rPr>
          <w:rStyle w:val="Refdecomentario"/>
          <w:rFonts w:eastAsia="SimSun"/>
          <w:kern w:val="0"/>
          <w:lang w:eastAsia="zh-CN" w:bidi="ar-SA"/>
          <w14:ligatures w14:val="none"/>
        </w:rPr>
        <w:commentReference w:id="46"/>
      </w:r>
      <w:r w:rsidR="00FB785E" w:rsidRPr="004825BB">
        <w:rPr>
          <w:bCs/>
        </w:rPr>
        <w:t xml:space="preserve">EQ-5D-3L results compared with age-matched results divided by sex based on the Spanish 2012 National Health Survey. </w:t>
      </w:r>
      <w:r w:rsidR="00FB785E" w:rsidRPr="004825BB">
        <w:t>Results are shown by dimensions. Level 1 in light gra</w:t>
      </w:r>
      <w:r w:rsidR="004B3E58" w:rsidRPr="004825BB">
        <w:t>y = n</w:t>
      </w:r>
      <w:r w:rsidR="00FB785E" w:rsidRPr="004825BB">
        <w:t>o problems</w:t>
      </w:r>
      <w:r w:rsidR="009A047C">
        <w:t>.</w:t>
      </w:r>
      <w:r w:rsidR="00FB785E" w:rsidRPr="004825BB">
        <w:t xml:space="preserve"> Level 2 in wh</w:t>
      </w:r>
      <w:r w:rsidR="00994A5F">
        <w:t>it</w:t>
      </w:r>
      <w:r w:rsidR="004B3E58" w:rsidRPr="004825BB">
        <w:t>e = s</w:t>
      </w:r>
      <w:r w:rsidR="00FB785E" w:rsidRPr="004825BB">
        <w:t>ome problems</w:t>
      </w:r>
      <w:r w:rsidR="009A047C">
        <w:t>.</w:t>
      </w:r>
      <w:r w:rsidR="00FB785E" w:rsidRPr="004825BB">
        <w:t xml:space="preserve"> Level 3 in dark gra</w:t>
      </w:r>
      <w:r w:rsidR="004B3E58" w:rsidRPr="004825BB">
        <w:t>y = s</w:t>
      </w:r>
      <w:r w:rsidR="00FB785E" w:rsidRPr="004825BB">
        <w:t>evere problems.</w:t>
      </w:r>
    </w:p>
    <w:p w14:paraId="37EA3918" w14:textId="77777777" w:rsidR="00FB785E" w:rsidRPr="004825BB" w:rsidRDefault="00FB785E" w:rsidP="007202E4">
      <w:pPr>
        <w:pStyle w:val="MDPI31text"/>
      </w:pPr>
      <w:r w:rsidRPr="004825BB">
        <w:t>We found evidence for an interaction effect between the EQ-5D and VAS scores and the following variables: sex, age, receipt of treatment in both eyes, visual impairment</w:t>
      </w:r>
      <w:r w:rsidR="00262323">
        <w:t>,</w:t>
      </w:r>
      <w:r w:rsidRPr="004825BB">
        <w:t xml:space="preserve"> and bilateral visual acuity in both the initial and final surveys (Table 3).</w:t>
      </w:r>
    </w:p>
    <w:p w14:paraId="2F9D1C2C" w14:textId="77777777" w:rsidR="00FB785E" w:rsidRPr="004825BB" w:rsidRDefault="007202E4" w:rsidP="007202E4">
      <w:pPr>
        <w:pStyle w:val="MDPI41tablecaption"/>
        <w:jc w:val="both"/>
      </w:pPr>
      <w:r w:rsidRPr="004825BB">
        <w:rPr>
          <w:b/>
          <w:bCs/>
        </w:rPr>
        <w:t xml:space="preserve">Table 3. </w:t>
      </w:r>
      <w:commentRangeStart w:id="47"/>
      <w:commentRangeStart w:id="48"/>
      <w:r w:rsidR="00262323" w:rsidRPr="004825BB">
        <w:t>Significant results</w:t>
      </w:r>
      <w:r w:rsidR="00262323">
        <w:t xml:space="preserve"> of u</w:t>
      </w:r>
      <w:r w:rsidR="00FB785E" w:rsidRPr="004825BB">
        <w:t xml:space="preserve">nivariate comparison between demographic and clinical variables with </w:t>
      </w:r>
      <w:proofErr w:type="spellStart"/>
      <w:r w:rsidR="00FB785E" w:rsidRPr="004825BB">
        <w:t>HRQoL</w:t>
      </w:r>
      <w:proofErr w:type="spellEnd"/>
      <w:r w:rsidR="00FB785E" w:rsidRPr="004825BB">
        <w:t xml:space="preserve"> quantified by EQ-5D and VAS</w:t>
      </w:r>
      <w:r w:rsidR="00262323">
        <w:t>.</w:t>
      </w:r>
      <w:r w:rsidR="00FB785E" w:rsidRPr="004825BB">
        <w:t xml:space="preserve"> </w:t>
      </w:r>
      <w:commentRangeEnd w:id="47"/>
      <w:r w:rsidR="00262323">
        <w:rPr>
          <w:rStyle w:val="Refdecomentario"/>
          <w:rFonts w:eastAsia="SimSun" w:cs="Times New Roman"/>
          <w:noProof/>
          <w:kern w:val="0"/>
          <w:lang w:eastAsia="zh-CN" w:bidi="ar-SA"/>
          <w14:ligatures w14:val="none"/>
        </w:rPr>
        <w:commentReference w:id="47"/>
      </w:r>
      <w:commentRangeEnd w:id="48"/>
      <w:r w:rsidR="00642933">
        <w:rPr>
          <w:rStyle w:val="Refdecomentario"/>
          <w:rFonts w:eastAsia="SimSun" w:cs="Times New Roman"/>
          <w:kern w:val="0"/>
          <w:lang w:eastAsia="zh-CN" w:bidi="ar-SA"/>
          <w14:ligatures w14:val="none"/>
        </w:rPr>
        <w:commentReference w:id="48"/>
      </w:r>
    </w:p>
    <w:tbl>
      <w:tblPr>
        <w:tblStyle w:val="Tablaconcuadrcula"/>
        <w:tblW w:w="7857" w:type="dxa"/>
        <w:tblInd w:w="2608" w:type="dxa"/>
        <w:tblLayout w:type="fixed"/>
        <w:tblCellMar>
          <w:left w:w="0" w:type="dxa"/>
          <w:right w:w="0" w:type="dxa"/>
        </w:tblCellMar>
        <w:tblLook w:val="04A0" w:firstRow="1" w:lastRow="0" w:firstColumn="1" w:lastColumn="0" w:noHBand="0" w:noVBand="1"/>
      </w:tblPr>
      <w:tblGrid>
        <w:gridCol w:w="3173"/>
        <w:gridCol w:w="1209"/>
        <w:gridCol w:w="1209"/>
        <w:gridCol w:w="1057"/>
        <w:gridCol w:w="1209"/>
      </w:tblGrid>
      <w:tr w:rsidR="00FB785E" w:rsidRPr="004825BB" w14:paraId="6C6C435B" w14:textId="77777777" w:rsidTr="007202E4">
        <w:tc>
          <w:tcPr>
            <w:tcW w:w="2977" w:type="dxa"/>
            <w:tcBorders>
              <w:top w:val="single" w:sz="8" w:space="0" w:color="auto"/>
              <w:left w:val="nil"/>
              <w:right w:val="nil"/>
            </w:tcBorders>
            <w:shd w:val="clear" w:color="auto" w:fill="auto"/>
            <w:vAlign w:val="center"/>
          </w:tcPr>
          <w:p w14:paraId="394E7E48" w14:textId="77777777" w:rsidR="00FB785E" w:rsidRPr="004825BB" w:rsidRDefault="00FB785E" w:rsidP="007202E4">
            <w:pPr>
              <w:autoSpaceDE w:val="0"/>
              <w:autoSpaceDN w:val="0"/>
              <w:adjustRightInd w:val="0"/>
              <w:snapToGrid w:val="0"/>
              <w:spacing w:line="240" w:lineRule="auto"/>
              <w:jc w:val="center"/>
              <w:rPr>
                <w:b/>
                <w:bCs/>
                <w:szCs w:val="16"/>
              </w:rPr>
            </w:pPr>
          </w:p>
        </w:tc>
        <w:tc>
          <w:tcPr>
            <w:tcW w:w="2268" w:type="dxa"/>
            <w:gridSpan w:val="2"/>
            <w:tcBorders>
              <w:top w:val="single" w:sz="8" w:space="0" w:color="auto"/>
              <w:left w:val="nil"/>
              <w:right w:val="nil"/>
            </w:tcBorders>
            <w:shd w:val="clear" w:color="auto" w:fill="auto"/>
            <w:vAlign w:val="center"/>
          </w:tcPr>
          <w:p w14:paraId="134F4FC6" w14:textId="77777777" w:rsidR="00FB785E" w:rsidRPr="004825BB" w:rsidRDefault="00FB785E" w:rsidP="007202E4">
            <w:pPr>
              <w:autoSpaceDE w:val="0"/>
              <w:autoSpaceDN w:val="0"/>
              <w:adjustRightInd w:val="0"/>
              <w:snapToGrid w:val="0"/>
              <w:spacing w:line="240" w:lineRule="auto"/>
              <w:jc w:val="center"/>
              <w:rPr>
                <w:b/>
                <w:bCs/>
                <w:szCs w:val="16"/>
              </w:rPr>
            </w:pPr>
            <w:r w:rsidRPr="004825BB">
              <w:rPr>
                <w:b/>
                <w:bCs/>
                <w:szCs w:val="16"/>
              </w:rPr>
              <w:t xml:space="preserve">Initial </w:t>
            </w:r>
            <w:r w:rsidR="00093506" w:rsidRPr="004825BB">
              <w:rPr>
                <w:b/>
                <w:bCs/>
                <w:szCs w:val="16"/>
              </w:rPr>
              <w:t>Survey</w:t>
            </w:r>
          </w:p>
        </w:tc>
        <w:tc>
          <w:tcPr>
            <w:tcW w:w="2126" w:type="dxa"/>
            <w:gridSpan w:val="2"/>
            <w:tcBorders>
              <w:top w:val="single" w:sz="8" w:space="0" w:color="auto"/>
              <w:left w:val="nil"/>
              <w:right w:val="nil"/>
            </w:tcBorders>
            <w:shd w:val="clear" w:color="auto" w:fill="auto"/>
            <w:vAlign w:val="center"/>
          </w:tcPr>
          <w:p w14:paraId="64B41A92" w14:textId="77777777" w:rsidR="00FB785E" w:rsidRPr="004825BB" w:rsidRDefault="00FB785E" w:rsidP="007202E4">
            <w:pPr>
              <w:autoSpaceDE w:val="0"/>
              <w:autoSpaceDN w:val="0"/>
              <w:adjustRightInd w:val="0"/>
              <w:snapToGrid w:val="0"/>
              <w:spacing w:line="240" w:lineRule="auto"/>
              <w:jc w:val="center"/>
              <w:rPr>
                <w:b/>
                <w:bCs/>
                <w:szCs w:val="16"/>
              </w:rPr>
            </w:pPr>
            <w:r w:rsidRPr="004825BB">
              <w:rPr>
                <w:b/>
                <w:bCs/>
                <w:szCs w:val="16"/>
              </w:rPr>
              <w:t>Final Survey</w:t>
            </w:r>
          </w:p>
        </w:tc>
      </w:tr>
      <w:tr w:rsidR="00FB785E" w:rsidRPr="004825BB" w14:paraId="69DEEB39" w14:textId="77777777" w:rsidTr="007202E4">
        <w:tc>
          <w:tcPr>
            <w:tcW w:w="2977" w:type="dxa"/>
            <w:tcBorders>
              <w:left w:val="nil"/>
              <w:bottom w:val="single" w:sz="4" w:space="0" w:color="auto"/>
              <w:right w:val="nil"/>
            </w:tcBorders>
            <w:shd w:val="clear" w:color="auto" w:fill="auto"/>
            <w:vAlign w:val="center"/>
          </w:tcPr>
          <w:p w14:paraId="1060DE9E" w14:textId="77777777" w:rsidR="00FB785E" w:rsidRPr="004825BB" w:rsidRDefault="00FB785E" w:rsidP="007202E4">
            <w:pPr>
              <w:autoSpaceDE w:val="0"/>
              <w:autoSpaceDN w:val="0"/>
              <w:adjustRightInd w:val="0"/>
              <w:snapToGrid w:val="0"/>
              <w:spacing w:line="240" w:lineRule="auto"/>
              <w:jc w:val="center"/>
              <w:rPr>
                <w:b/>
                <w:bCs/>
                <w:szCs w:val="16"/>
              </w:rPr>
            </w:pPr>
          </w:p>
        </w:tc>
        <w:tc>
          <w:tcPr>
            <w:tcW w:w="1134" w:type="dxa"/>
            <w:tcBorders>
              <w:left w:val="nil"/>
              <w:bottom w:val="single" w:sz="4" w:space="0" w:color="auto"/>
              <w:right w:val="nil"/>
            </w:tcBorders>
            <w:shd w:val="clear" w:color="auto" w:fill="auto"/>
            <w:vAlign w:val="center"/>
          </w:tcPr>
          <w:p w14:paraId="6F48FDE1" w14:textId="77777777" w:rsidR="00FB785E" w:rsidRPr="004825BB" w:rsidRDefault="00FB785E" w:rsidP="007202E4">
            <w:pPr>
              <w:autoSpaceDE w:val="0"/>
              <w:autoSpaceDN w:val="0"/>
              <w:adjustRightInd w:val="0"/>
              <w:snapToGrid w:val="0"/>
              <w:spacing w:line="240" w:lineRule="auto"/>
              <w:jc w:val="center"/>
              <w:rPr>
                <w:b/>
                <w:bCs/>
                <w:szCs w:val="16"/>
              </w:rPr>
            </w:pPr>
            <w:r w:rsidRPr="004825BB">
              <w:rPr>
                <w:b/>
                <w:bCs/>
                <w:szCs w:val="16"/>
              </w:rPr>
              <w:t>VAS</w:t>
            </w:r>
          </w:p>
        </w:tc>
        <w:tc>
          <w:tcPr>
            <w:tcW w:w="1134" w:type="dxa"/>
            <w:tcBorders>
              <w:left w:val="nil"/>
              <w:bottom w:val="single" w:sz="4" w:space="0" w:color="auto"/>
              <w:right w:val="nil"/>
            </w:tcBorders>
            <w:shd w:val="clear" w:color="auto" w:fill="auto"/>
            <w:vAlign w:val="center"/>
          </w:tcPr>
          <w:p w14:paraId="5E40A090" w14:textId="77777777" w:rsidR="00FB785E" w:rsidRPr="004825BB" w:rsidRDefault="00FB785E" w:rsidP="007202E4">
            <w:pPr>
              <w:autoSpaceDE w:val="0"/>
              <w:autoSpaceDN w:val="0"/>
              <w:adjustRightInd w:val="0"/>
              <w:snapToGrid w:val="0"/>
              <w:spacing w:line="240" w:lineRule="auto"/>
              <w:jc w:val="center"/>
              <w:rPr>
                <w:b/>
                <w:bCs/>
                <w:szCs w:val="16"/>
              </w:rPr>
            </w:pPr>
            <w:r w:rsidRPr="004825BB">
              <w:rPr>
                <w:b/>
                <w:bCs/>
                <w:szCs w:val="16"/>
              </w:rPr>
              <w:t xml:space="preserve">Health </w:t>
            </w:r>
            <w:r w:rsidR="00093506" w:rsidRPr="004825BB">
              <w:rPr>
                <w:b/>
                <w:bCs/>
                <w:szCs w:val="16"/>
              </w:rPr>
              <w:t>Index</w:t>
            </w:r>
          </w:p>
        </w:tc>
        <w:tc>
          <w:tcPr>
            <w:tcW w:w="992" w:type="dxa"/>
            <w:tcBorders>
              <w:left w:val="nil"/>
              <w:bottom w:val="single" w:sz="4" w:space="0" w:color="auto"/>
              <w:right w:val="nil"/>
            </w:tcBorders>
            <w:shd w:val="clear" w:color="auto" w:fill="auto"/>
            <w:vAlign w:val="center"/>
          </w:tcPr>
          <w:p w14:paraId="705CB004" w14:textId="77777777" w:rsidR="00FB785E" w:rsidRPr="004825BB" w:rsidRDefault="00FB785E" w:rsidP="007202E4">
            <w:pPr>
              <w:autoSpaceDE w:val="0"/>
              <w:autoSpaceDN w:val="0"/>
              <w:adjustRightInd w:val="0"/>
              <w:snapToGrid w:val="0"/>
              <w:spacing w:line="240" w:lineRule="auto"/>
              <w:jc w:val="center"/>
              <w:rPr>
                <w:b/>
                <w:bCs/>
                <w:szCs w:val="16"/>
              </w:rPr>
            </w:pPr>
            <w:r w:rsidRPr="004825BB">
              <w:rPr>
                <w:b/>
                <w:bCs/>
                <w:szCs w:val="16"/>
              </w:rPr>
              <w:t>VAS</w:t>
            </w:r>
          </w:p>
        </w:tc>
        <w:tc>
          <w:tcPr>
            <w:tcW w:w="1134" w:type="dxa"/>
            <w:tcBorders>
              <w:left w:val="nil"/>
              <w:bottom w:val="single" w:sz="4" w:space="0" w:color="auto"/>
              <w:right w:val="nil"/>
            </w:tcBorders>
            <w:shd w:val="clear" w:color="auto" w:fill="auto"/>
            <w:vAlign w:val="center"/>
          </w:tcPr>
          <w:p w14:paraId="2ED98563" w14:textId="77777777" w:rsidR="00FB785E" w:rsidRPr="004825BB" w:rsidRDefault="00FB785E" w:rsidP="007202E4">
            <w:pPr>
              <w:autoSpaceDE w:val="0"/>
              <w:autoSpaceDN w:val="0"/>
              <w:adjustRightInd w:val="0"/>
              <w:snapToGrid w:val="0"/>
              <w:spacing w:line="240" w:lineRule="auto"/>
              <w:jc w:val="center"/>
              <w:rPr>
                <w:b/>
                <w:bCs/>
                <w:szCs w:val="16"/>
              </w:rPr>
            </w:pPr>
            <w:r w:rsidRPr="004825BB">
              <w:rPr>
                <w:b/>
                <w:bCs/>
                <w:szCs w:val="16"/>
              </w:rPr>
              <w:t xml:space="preserve">Health </w:t>
            </w:r>
            <w:r w:rsidR="00093506" w:rsidRPr="004825BB">
              <w:rPr>
                <w:b/>
                <w:bCs/>
                <w:szCs w:val="16"/>
              </w:rPr>
              <w:t>Index</w:t>
            </w:r>
          </w:p>
        </w:tc>
      </w:tr>
      <w:tr w:rsidR="00FB785E" w:rsidRPr="004825BB" w14:paraId="4EEF4FE1" w14:textId="77777777" w:rsidTr="007202E4">
        <w:tc>
          <w:tcPr>
            <w:tcW w:w="2977" w:type="dxa"/>
            <w:tcBorders>
              <w:top w:val="single" w:sz="4" w:space="0" w:color="auto"/>
              <w:left w:val="nil"/>
              <w:bottom w:val="nil"/>
              <w:right w:val="nil"/>
            </w:tcBorders>
            <w:shd w:val="clear" w:color="auto" w:fill="auto"/>
            <w:vAlign w:val="center"/>
          </w:tcPr>
          <w:p w14:paraId="27F2D5C1"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Sex</w:t>
            </w:r>
          </w:p>
        </w:tc>
        <w:tc>
          <w:tcPr>
            <w:tcW w:w="1134" w:type="dxa"/>
            <w:tcBorders>
              <w:top w:val="single" w:sz="4" w:space="0" w:color="auto"/>
              <w:left w:val="nil"/>
              <w:bottom w:val="nil"/>
              <w:right w:val="nil"/>
            </w:tcBorders>
            <w:shd w:val="clear" w:color="auto" w:fill="auto"/>
            <w:vAlign w:val="center"/>
          </w:tcPr>
          <w:p w14:paraId="29FF241B" w14:textId="77777777" w:rsidR="00FB785E" w:rsidRPr="004825BB" w:rsidRDefault="00FB785E" w:rsidP="007202E4">
            <w:pPr>
              <w:autoSpaceDE w:val="0"/>
              <w:autoSpaceDN w:val="0"/>
              <w:adjustRightInd w:val="0"/>
              <w:snapToGrid w:val="0"/>
              <w:spacing w:line="240" w:lineRule="auto"/>
              <w:jc w:val="center"/>
              <w:rPr>
                <w:szCs w:val="16"/>
              </w:rPr>
            </w:pPr>
          </w:p>
        </w:tc>
        <w:tc>
          <w:tcPr>
            <w:tcW w:w="1134" w:type="dxa"/>
            <w:tcBorders>
              <w:top w:val="single" w:sz="4" w:space="0" w:color="auto"/>
              <w:left w:val="nil"/>
              <w:bottom w:val="nil"/>
              <w:right w:val="nil"/>
            </w:tcBorders>
            <w:shd w:val="clear" w:color="auto" w:fill="auto"/>
            <w:vAlign w:val="center"/>
          </w:tcPr>
          <w:p w14:paraId="3C18F53A" w14:textId="77777777" w:rsidR="00FB785E" w:rsidRPr="004825BB" w:rsidRDefault="00FB785E" w:rsidP="007202E4">
            <w:pPr>
              <w:autoSpaceDE w:val="0"/>
              <w:autoSpaceDN w:val="0"/>
              <w:adjustRightInd w:val="0"/>
              <w:snapToGrid w:val="0"/>
              <w:spacing w:line="240" w:lineRule="auto"/>
              <w:jc w:val="center"/>
              <w:rPr>
                <w:szCs w:val="16"/>
              </w:rPr>
            </w:pPr>
          </w:p>
        </w:tc>
        <w:tc>
          <w:tcPr>
            <w:tcW w:w="992" w:type="dxa"/>
            <w:tcBorders>
              <w:top w:val="single" w:sz="4" w:space="0" w:color="auto"/>
              <w:left w:val="nil"/>
              <w:bottom w:val="nil"/>
              <w:right w:val="nil"/>
            </w:tcBorders>
            <w:shd w:val="clear" w:color="auto" w:fill="auto"/>
            <w:vAlign w:val="center"/>
          </w:tcPr>
          <w:p w14:paraId="24848E9C" w14:textId="77777777" w:rsidR="00FB785E" w:rsidRPr="004825BB" w:rsidRDefault="00FB785E" w:rsidP="007202E4">
            <w:pPr>
              <w:autoSpaceDE w:val="0"/>
              <w:autoSpaceDN w:val="0"/>
              <w:adjustRightInd w:val="0"/>
              <w:snapToGrid w:val="0"/>
              <w:spacing w:line="240" w:lineRule="auto"/>
              <w:jc w:val="center"/>
              <w:rPr>
                <w:szCs w:val="16"/>
              </w:rPr>
            </w:pPr>
          </w:p>
        </w:tc>
        <w:tc>
          <w:tcPr>
            <w:tcW w:w="1134" w:type="dxa"/>
            <w:tcBorders>
              <w:top w:val="single" w:sz="4" w:space="0" w:color="auto"/>
              <w:left w:val="nil"/>
              <w:bottom w:val="nil"/>
              <w:right w:val="nil"/>
            </w:tcBorders>
            <w:shd w:val="clear" w:color="auto" w:fill="auto"/>
            <w:vAlign w:val="center"/>
          </w:tcPr>
          <w:p w14:paraId="0C5FB6AA" w14:textId="77777777" w:rsidR="00FB785E" w:rsidRPr="004825BB" w:rsidRDefault="00FB785E" w:rsidP="007202E4">
            <w:pPr>
              <w:autoSpaceDE w:val="0"/>
              <w:autoSpaceDN w:val="0"/>
              <w:adjustRightInd w:val="0"/>
              <w:snapToGrid w:val="0"/>
              <w:spacing w:line="240" w:lineRule="auto"/>
              <w:jc w:val="center"/>
              <w:rPr>
                <w:szCs w:val="16"/>
              </w:rPr>
            </w:pPr>
          </w:p>
        </w:tc>
      </w:tr>
      <w:tr w:rsidR="00FB785E" w:rsidRPr="004825BB" w14:paraId="60145E55" w14:textId="77777777" w:rsidTr="007202E4">
        <w:tc>
          <w:tcPr>
            <w:tcW w:w="2977" w:type="dxa"/>
            <w:tcBorders>
              <w:top w:val="nil"/>
              <w:left w:val="nil"/>
              <w:bottom w:val="nil"/>
              <w:right w:val="nil"/>
            </w:tcBorders>
            <w:shd w:val="clear" w:color="auto" w:fill="auto"/>
            <w:vAlign w:val="center"/>
          </w:tcPr>
          <w:p w14:paraId="4DD84673"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Male</w:t>
            </w:r>
          </w:p>
        </w:tc>
        <w:tc>
          <w:tcPr>
            <w:tcW w:w="1134" w:type="dxa"/>
            <w:tcBorders>
              <w:top w:val="nil"/>
              <w:left w:val="nil"/>
              <w:bottom w:val="nil"/>
              <w:right w:val="nil"/>
            </w:tcBorders>
            <w:shd w:val="clear" w:color="auto" w:fill="auto"/>
            <w:vAlign w:val="center"/>
          </w:tcPr>
          <w:p w14:paraId="7D139033"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82.090</w:t>
            </w:r>
          </w:p>
        </w:tc>
        <w:tc>
          <w:tcPr>
            <w:tcW w:w="1134" w:type="dxa"/>
            <w:tcBorders>
              <w:top w:val="nil"/>
              <w:left w:val="nil"/>
              <w:bottom w:val="nil"/>
              <w:right w:val="nil"/>
            </w:tcBorders>
            <w:shd w:val="clear" w:color="auto" w:fill="auto"/>
            <w:vAlign w:val="center"/>
          </w:tcPr>
          <w:p w14:paraId="72900057"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0.810</w:t>
            </w:r>
          </w:p>
        </w:tc>
        <w:tc>
          <w:tcPr>
            <w:tcW w:w="992" w:type="dxa"/>
            <w:tcBorders>
              <w:top w:val="nil"/>
              <w:left w:val="nil"/>
              <w:bottom w:val="nil"/>
              <w:right w:val="nil"/>
            </w:tcBorders>
            <w:shd w:val="clear" w:color="auto" w:fill="auto"/>
            <w:vAlign w:val="center"/>
          </w:tcPr>
          <w:p w14:paraId="196A07B6"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73.180</w:t>
            </w:r>
          </w:p>
        </w:tc>
        <w:tc>
          <w:tcPr>
            <w:tcW w:w="1134" w:type="dxa"/>
            <w:tcBorders>
              <w:top w:val="nil"/>
              <w:left w:val="nil"/>
              <w:bottom w:val="nil"/>
              <w:right w:val="nil"/>
            </w:tcBorders>
            <w:shd w:val="clear" w:color="auto" w:fill="auto"/>
            <w:vAlign w:val="center"/>
          </w:tcPr>
          <w:p w14:paraId="13B69F92"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0.790</w:t>
            </w:r>
          </w:p>
        </w:tc>
      </w:tr>
      <w:tr w:rsidR="00FB785E" w:rsidRPr="004825BB" w14:paraId="7CDF2230" w14:textId="77777777" w:rsidTr="007202E4">
        <w:tc>
          <w:tcPr>
            <w:tcW w:w="2977" w:type="dxa"/>
            <w:tcBorders>
              <w:top w:val="nil"/>
              <w:left w:val="nil"/>
              <w:bottom w:val="single" w:sz="4" w:space="0" w:color="auto"/>
              <w:right w:val="nil"/>
            </w:tcBorders>
            <w:shd w:val="clear" w:color="auto" w:fill="auto"/>
            <w:vAlign w:val="center"/>
          </w:tcPr>
          <w:p w14:paraId="0873C8DC"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lastRenderedPageBreak/>
              <w:t>Female</w:t>
            </w:r>
          </w:p>
        </w:tc>
        <w:tc>
          <w:tcPr>
            <w:tcW w:w="1134" w:type="dxa"/>
            <w:tcBorders>
              <w:top w:val="nil"/>
              <w:left w:val="nil"/>
              <w:bottom w:val="single" w:sz="4" w:space="0" w:color="auto"/>
              <w:right w:val="nil"/>
            </w:tcBorders>
            <w:shd w:val="clear" w:color="auto" w:fill="auto"/>
            <w:vAlign w:val="center"/>
          </w:tcPr>
          <w:p w14:paraId="5CED5B90"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68.910</w:t>
            </w:r>
          </w:p>
        </w:tc>
        <w:tc>
          <w:tcPr>
            <w:tcW w:w="1134" w:type="dxa"/>
            <w:tcBorders>
              <w:top w:val="nil"/>
              <w:left w:val="nil"/>
              <w:bottom w:val="single" w:sz="4" w:space="0" w:color="auto"/>
              <w:right w:val="nil"/>
            </w:tcBorders>
            <w:shd w:val="clear" w:color="auto" w:fill="auto"/>
            <w:vAlign w:val="center"/>
          </w:tcPr>
          <w:p w14:paraId="18DE93A2"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0.670</w:t>
            </w:r>
          </w:p>
        </w:tc>
        <w:tc>
          <w:tcPr>
            <w:tcW w:w="992" w:type="dxa"/>
            <w:tcBorders>
              <w:top w:val="nil"/>
              <w:left w:val="nil"/>
              <w:bottom w:val="single" w:sz="4" w:space="0" w:color="auto"/>
              <w:right w:val="nil"/>
            </w:tcBorders>
            <w:shd w:val="clear" w:color="auto" w:fill="auto"/>
            <w:vAlign w:val="center"/>
          </w:tcPr>
          <w:p w14:paraId="2DD26C0B"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67.780</w:t>
            </w:r>
          </w:p>
        </w:tc>
        <w:tc>
          <w:tcPr>
            <w:tcW w:w="1134" w:type="dxa"/>
            <w:tcBorders>
              <w:top w:val="nil"/>
              <w:left w:val="nil"/>
              <w:bottom w:val="single" w:sz="4" w:space="0" w:color="auto"/>
              <w:right w:val="nil"/>
            </w:tcBorders>
            <w:shd w:val="clear" w:color="auto" w:fill="auto"/>
            <w:vAlign w:val="center"/>
          </w:tcPr>
          <w:p w14:paraId="7C87B2B1"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0.650</w:t>
            </w:r>
          </w:p>
        </w:tc>
      </w:tr>
      <w:tr w:rsidR="00FB785E" w:rsidRPr="004825BB" w14:paraId="66320EB5" w14:textId="77777777" w:rsidTr="007202E4">
        <w:tc>
          <w:tcPr>
            <w:tcW w:w="2977" w:type="dxa"/>
            <w:tcBorders>
              <w:top w:val="single" w:sz="4" w:space="0" w:color="auto"/>
              <w:left w:val="nil"/>
              <w:bottom w:val="single" w:sz="4" w:space="0" w:color="auto"/>
              <w:right w:val="nil"/>
            </w:tcBorders>
            <w:shd w:val="clear" w:color="auto" w:fill="auto"/>
            <w:vAlign w:val="center"/>
          </w:tcPr>
          <w:p w14:paraId="172F8F3D" w14:textId="77777777" w:rsidR="00FB785E" w:rsidRPr="004825BB" w:rsidRDefault="00043EA3" w:rsidP="007202E4">
            <w:pPr>
              <w:autoSpaceDE w:val="0"/>
              <w:autoSpaceDN w:val="0"/>
              <w:adjustRightInd w:val="0"/>
              <w:snapToGrid w:val="0"/>
              <w:spacing w:line="240" w:lineRule="auto"/>
              <w:jc w:val="center"/>
              <w:rPr>
                <w:szCs w:val="16"/>
              </w:rPr>
            </w:pPr>
            <w:r w:rsidRPr="004825BB">
              <w:rPr>
                <w:i/>
                <w:szCs w:val="16"/>
              </w:rPr>
              <w:t>p</w:t>
            </w:r>
            <w:r w:rsidR="00FB785E" w:rsidRPr="004825BB">
              <w:rPr>
                <w:szCs w:val="16"/>
              </w:rPr>
              <w:t xml:space="preserve"> value</w:t>
            </w:r>
          </w:p>
        </w:tc>
        <w:tc>
          <w:tcPr>
            <w:tcW w:w="1134" w:type="dxa"/>
            <w:tcBorders>
              <w:top w:val="single" w:sz="4" w:space="0" w:color="auto"/>
              <w:left w:val="nil"/>
              <w:bottom w:val="single" w:sz="4" w:space="0" w:color="auto"/>
              <w:right w:val="nil"/>
            </w:tcBorders>
            <w:shd w:val="clear" w:color="auto" w:fill="auto"/>
            <w:vAlign w:val="center"/>
          </w:tcPr>
          <w:p w14:paraId="1696DE1F" w14:textId="77777777" w:rsidR="00FB785E" w:rsidRPr="004825BB" w:rsidRDefault="00FB785E" w:rsidP="007202E4">
            <w:pPr>
              <w:autoSpaceDE w:val="0"/>
              <w:autoSpaceDN w:val="0"/>
              <w:adjustRightInd w:val="0"/>
              <w:snapToGrid w:val="0"/>
              <w:spacing w:line="240" w:lineRule="auto"/>
              <w:jc w:val="center"/>
              <w:rPr>
                <w:b/>
                <w:szCs w:val="16"/>
              </w:rPr>
            </w:pPr>
            <w:r w:rsidRPr="004825BB">
              <w:rPr>
                <w:b/>
                <w:szCs w:val="16"/>
              </w:rPr>
              <w:t>0.002</w:t>
            </w:r>
          </w:p>
        </w:tc>
        <w:tc>
          <w:tcPr>
            <w:tcW w:w="1134" w:type="dxa"/>
            <w:tcBorders>
              <w:top w:val="single" w:sz="4" w:space="0" w:color="auto"/>
              <w:left w:val="nil"/>
              <w:bottom w:val="single" w:sz="4" w:space="0" w:color="auto"/>
              <w:right w:val="nil"/>
            </w:tcBorders>
            <w:shd w:val="clear" w:color="auto" w:fill="auto"/>
            <w:vAlign w:val="center"/>
          </w:tcPr>
          <w:p w14:paraId="34D3FF43" w14:textId="77777777" w:rsidR="00FB785E" w:rsidRPr="004825BB" w:rsidRDefault="00FB785E" w:rsidP="007202E4">
            <w:pPr>
              <w:autoSpaceDE w:val="0"/>
              <w:autoSpaceDN w:val="0"/>
              <w:adjustRightInd w:val="0"/>
              <w:snapToGrid w:val="0"/>
              <w:spacing w:line="240" w:lineRule="auto"/>
              <w:jc w:val="center"/>
              <w:rPr>
                <w:b/>
                <w:szCs w:val="16"/>
              </w:rPr>
            </w:pPr>
            <w:r w:rsidRPr="004825BB">
              <w:rPr>
                <w:b/>
                <w:szCs w:val="16"/>
              </w:rPr>
              <w:t>0.001</w:t>
            </w:r>
          </w:p>
        </w:tc>
        <w:tc>
          <w:tcPr>
            <w:tcW w:w="992" w:type="dxa"/>
            <w:tcBorders>
              <w:top w:val="single" w:sz="4" w:space="0" w:color="auto"/>
              <w:left w:val="nil"/>
              <w:bottom w:val="single" w:sz="4" w:space="0" w:color="auto"/>
              <w:right w:val="nil"/>
            </w:tcBorders>
            <w:shd w:val="clear" w:color="auto" w:fill="auto"/>
            <w:vAlign w:val="center"/>
          </w:tcPr>
          <w:p w14:paraId="43F4896D"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0.155</w:t>
            </w:r>
          </w:p>
        </w:tc>
        <w:tc>
          <w:tcPr>
            <w:tcW w:w="1134" w:type="dxa"/>
            <w:tcBorders>
              <w:top w:val="single" w:sz="4" w:space="0" w:color="auto"/>
              <w:left w:val="nil"/>
              <w:bottom w:val="single" w:sz="4" w:space="0" w:color="auto"/>
              <w:right w:val="nil"/>
            </w:tcBorders>
            <w:shd w:val="clear" w:color="auto" w:fill="auto"/>
            <w:vAlign w:val="center"/>
          </w:tcPr>
          <w:p w14:paraId="1748FD81" w14:textId="77777777" w:rsidR="00FB785E" w:rsidRPr="004825BB" w:rsidRDefault="00FB785E" w:rsidP="007202E4">
            <w:pPr>
              <w:autoSpaceDE w:val="0"/>
              <w:autoSpaceDN w:val="0"/>
              <w:adjustRightInd w:val="0"/>
              <w:snapToGrid w:val="0"/>
              <w:spacing w:line="240" w:lineRule="auto"/>
              <w:jc w:val="center"/>
              <w:rPr>
                <w:b/>
                <w:szCs w:val="16"/>
              </w:rPr>
            </w:pPr>
            <w:r w:rsidRPr="004825BB">
              <w:rPr>
                <w:b/>
                <w:szCs w:val="16"/>
              </w:rPr>
              <w:t>0.009</w:t>
            </w:r>
          </w:p>
        </w:tc>
      </w:tr>
      <w:tr w:rsidR="00FB785E" w:rsidRPr="004825BB" w14:paraId="68C38649" w14:textId="77777777" w:rsidTr="007202E4">
        <w:tc>
          <w:tcPr>
            <w:tcW w:w="2977" w:type="dxa"/>
            <w:tcBorders>
              <w:top w:val="single" w:sz="4" w:space="0" w:color="auto"/>
              <w:left w:val="nil"/>
              <w:bottom w:val="nil"/>
              <w:right w:val="nil"/>
            </w:tcBorders>
            <w:shd w:val="clear" w:color="auto" w:fill="auto"/>
            <w:vAlign w:val="center"/>
          </w:tcPr>
          <w:p w14:paraId="296B3595"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Age (years)</w:t>
            </w:r>
          </w:p>
        </w:tc>
        <w:tc>
          <w:tcPr>
            <w:tcW w:w="1134" w:type="dxa"/>
            <w:tcBorders>
              <w:top w:val="single" w:sz="4" w:space="0" w:color="auto"/>
              <w:left w:val="nil"/>
              <w:bottom w:val="nil"/>
              <w:right w:val="nil"/>
            </w:tcBorders>
            <w:shd w:val="clear" w:color="auto" w:fill="auto"/>
            <w:vAlign w:val="center"/>
          </w:tcPr>
          <w:p w14:paraId="10F36A53" w14:textId="77777777" w:rsidR="00FB785E" w:rsidRPr="004825BB" w:rsidRDefault="00FB785E" w:rsidP="007202E4">
            <w:pPr>
              <w:autoSpaceDE w:val="0"/>
              <w:autoSpaceDN w:val="0"/>
              <w:adjustRightInd w:val="0"/>
              <w:snapToGrid w:val="0"/>
              <w:spacing w:line="240" w:lineRule="auto"/>
              <w:jc w:val="center"/>
              <w:rPr>
                <w:szCs w:val="16"/>
              </w:rPr>
            </w:pPr>
          </w:p>
        </w:tc>
        <w:tc>
          <w:tcPr>
            <w:tcW w:w="1134" w:type="dxa"/>
            <w:tcBorders>
              <w:top w:val="single" w:sz="4" w:space="0" w:color="auto"/>
              <w:left w:val="nil"/>
              <w:bottom w:val="nil"/>
              <w:right w:val="nil"/>
            </w:tcBorders>
            <w:shd w:val="clear" w:color="auto" w:fill="auto"/>
            <w:vAlign w:val="center"/>
          </w:tcPr>
          <w:p w14:paraId="6542B9C8" w14:textId="77777777" w:rsidR="00FB785E" w:rsidRPr="004825BB" w:rsidRDefault="00FB785E" w:rsidP="007202E4">
            <w:pPr>
              <w:autoSpaceDE w:val="0"/>
              <w:autoSpaceDN w:val="0"/>
              <w:adjustRightInd w:val="0"/>
              <w:snapToGrid w:val="0"/>
              <w:spacing w:line="240" w:lineRule="auto"/>
              <w:jc w:val="center"/>
              <w:rPr>
                <w:szCs w:val="16"/>
              </w:rPr>
            </w:pPr>
          </w:p>
        </w:tc>
        <w:tc>
          <w:tcPr>
            <w:tcW w:w="992" w:type="dxa"/>
            <w:tcBorders>
              <w:top w:val="single" w:sz="4" w:space="0" w:color="auto"/>
              <w:left w:val="nil"/>
              <w:bottom w:val="nil"/>
              <w:right w:val="nil"/>
            </w:tcBorders>
            <w:shd w:val="clear" w:color="auto" w:fill="auto"/>
            <w:vAlign w:val="center"/>
          </w:tcPr>
          <w:p w14:paraId="4BDE205F" w14:textId="77777777" w:rsidR="00FB785E" w:rsidRPr="004825BB" w:rsidRDefault="00FB785E" w:rsidP="007202E4">
            <w:pPr>
              <w:autoSpaceDE w:val="0"/>
              <w:autoSpaceDN w:val="0"/>
              <w:adjustRightInd w:val="0"/>
              <w:snapToGrid w:val="0"/>
              <w:spacing w:line="240" w:lineRule="auto"/>
              <w:jc w:val="center"/>
              <w:rPr>
                <w:szCs w:val="16"/>
              </w:rPr>
            </w:pPr>
          </w:p>
        </w:tc>
        <w:tc>
          <w:tcPr>
            <w:tcW w:w="1134" w:type="dxa"/>
            <w:tcBorders>
              <w:top w:val="single" w:sz="4" w:space="0" w:color="auto"/>
              <w:left w:val="nil"/>
              <w:bottom w:val="nil"/>
              <w:right w:val="nil"/>
            </w:tcBorders>
            <w:shd w:val="clear" w:color="auto" w:fill="auto"/>
            <w:vAlign w:val="center"/>
          </w:tcPr>
          <w:p w14:paraId="238CB9E0" w14:textId="77777777" w:rsidR="00FB785E" w:rsidRPr="004825BB" w:rsidRDefault="00FB785E" w:rsidP="007202E4">
            <w:pPr>
              <w:autoSpaceDE w:val="0"/>
              <w:autoSpaceDN w:val="0"/>
              <w:adjustRightInd w:val="0"/>
              <w:snapToGrid w:val="0"/>
              <w:spacing w:line="240" w:lineRule="auto"/>
              <w:jc w:val="center"/>
              <w:rPr>
                <w:szCs w:val="16"/>
              </w:rPr>
            </w:pPr>
          </w:p>
        </w:tc>
      </w:tr>
      <w:tr w:rsidR="00FB785E" w:rsidRPr="004825BB" w14:paraId="0FA1A82E" w14:textId="77777777" w:rsidTr="007202E4">
        <w:tc>
          <w:tcPr>
            <w:tcW w:w="2977" w:type="dxa"/>
            <w:tcBorders>
              <w:top w:val="nil"/>
              <w:left w:val="nil"/>
              <w:bottom w:val="nil"/>
              <w:right w:val="nil"/>
            </w:tcBorders>
            <w:shd w:val="clear" w:color="auto" w:fill="auto"/>
            <w:vAlign w:val="center"/>
          </w:tcPr>
          <w:p w14:paraId="30039C66"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Q1: 6</w:t>
            </w:r>
            <w:r w:rsidR="00227CB7" w:rsidRPr="004825BB">
              <w:rPr>
                <w:szCs w:val="16"/>
              </w:rPr>
              <w:t>4–77</w:t>
            </w:r>
          </w:p>
        </w:tc>
        <w:tc>
          <w:tcPr>
            <w:tcW w:w="1134" w:type="dxa"/>
            <w:tcBorders>
              <w:top w:val="nil"/>
              <w:left w:val="nil"/>
              <w:bottom w:val="nil"/>
              <w:right w:val="nil"/>
            </w:tcBorders>
            <w:shd w:val="clear" w:color="auto" w:fill="auto"/>
            <w:vAlign w:val="center"/>
          </w:tcPr>
          <w:p w14:paraId="1593D4E4"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82.380</w:t>
            </w:r>
          </w:p>
        </w:tc>
        <w:tc>
          <w:tcPr>
            <w:tcW w:w="1134" w:type="dxa"/>
            <w:tcBorders>
              <w:top w:val="nil"/>
              <w:left w:val="nil"/>
              <w:bottom w:val="nil"/>
              <w:right w:val="nil"/>
            </w:tcBorders>
            <w:shd w:val="clear" w:color="auto" w:fill="auto"/>
            <w:vAlign w:val="center"/>
          </w:tcPr>
          <w:p w14:paraId="635AEE84"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0.850</w:t>
            </w:r>
          </w:p>
        </w:tc>
        <w:tc>
          <w:tcPr>
            <w:tcW w:w="992" w:type="dxa"/>
            <w:tcBorders>
              <w:top w:val="nil"/>
              <w:left w:val="nil"/>
              <w:bottom w:val="nil"/>
              <w:right w:val="nil"/>
            </w:tcBorders>
            <w:shd w:val="clear" w:color="auto" w:fill="auto"/>
            <w:vAlign w:val="center"/>
          </w:tcPr>
          <w:p w14:paraId="327D26EE"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78.120</w:t>
            </w:r>
          </w:p>
        </w:tc>
        <w:tc>
          <w:tcPr>
            <w:tcW w:w="1134" w:type="dxa"/>
            <w:tcBorders>
              <w:top w:val="nil"/>
              <w:left w:val="nil"/>
              <w:bottom w:val="nil"/>
              <w:right w:val="nil"/>
            </w:tcBorders>
            <w:shd w:val="clear" w:color="auto" w:fill="auto"/>
            <w:vAlign w:val="center"/>
          </w:tcPr>
          <w:p w14:paraId="064B3E4C"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0.870</w:t>
            </w:r>
          </w:p>
        </w:tc>
      </w:tr>
      <w:tr w:rsidR="00FB785E" w:rsidRPr="004825BB" w14:paraId="4EAA5667" w14:textId="77777777" w:rsidTr="007202E4">
        <w:tc>
          <w:tcPr>
            <w:tcW w:w="2977" w:type="dxa"/>
            <w:tcBorders>
              <w:top w:val="nil"/>
              <w:left w:val="nil"/>
              <w:bottom w:val="nil"/>
              <w:right w:val="nil"/>
            </w:tcBorders>
            <w:shd w:val="clear" w:color="auto" w:fill="auto"/>
            <w:vAlign w:val="center"/>
          </w:tcPr>
          <w:p w14:paraId="47BD9386"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Q2: 7</w:t>
            </w:r>
            <w:r w:rsidR="00227CB7" w:rsidRPr="004825BB">
              <w:rPr>
                <w:szCs w:val="16"/>
              </w:rPr>
              <w:t>8–82</w:t>
            </w:r>
          </w:p>
        </w:tc>
        <w:tc>
          <w:tcPr>
            <w:tcW w:w="1134" w:type="dxa"/>
            <w:tcBorders>
              <w:top w:val="nil"/>
              <w:left w:val="nil"/>
              <w:bottom w:val="nil"/>
              <w:right w:val="nil"/>
            </w:tcBorders>
            <w:shd w:val="clear" w:color="auto" w:fill="auto"/>
            <w:vAlign w:val="center"/>
          </w:tcPr>
          <w:p w14:paraId="4ED158F7"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74.090</w:t>
            </w:r>
          </w:p>
        </w:tc>
        <w:tc>
          <w:tcPr>
            <w:tcW w:w="1134" w:type="dxa"/>
            <w:tcBorders>
              <w:top w:val="nil"/>
              <w:left w:val="nil"/>
              <w:bottom w:val="nil"/>
              <w:right w:val="nil"/>
            </w:tcBorders>
            <w:shd w:val="clear" w:color="auto" w:fill="auto"/>
            <w:vAlign w:val="center"/>
          </w:tcPr>
          <w:p w14:paraId="504EDB0A"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0.700</w:t>
            </w:r>
          </w:p>
        </w:tc>
        <w:tc>
          <w:tcPr>
            <w:tcW w:w="992" w:type="dxa"/>
            <w:tcBorders>
              <w:top w:val="nil"/>
              <w:left w:val="nil"/>
              <w:bottom w:val="nil"/>
              <w:right w:val="nil"/>
            </w:tcBorders>
            <w:shd w:val="clear" w:color="auto" w:fill="auto"/>
            <w:vAlign w:val="center"/>
          </w:tcPr>
          <w:p w14:paraId="7C35EA44"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70.430</w:t>
            </w:r>
          </w:p>
        </w:tc>
        <w:tc>
          <w:tcPr>
            <w:tcW w:w="1134" w:type="dxa"/>
            <w:tcBorders>
              <w:top w:val="nil"/>
              <w:left w:val="nil"/>
              <w:bottom w:val="nil"/>
              <w:right w:val="nil"/>
            </w:tcBorders>
            <w:shd w:val="clear" w:color="auto" w:fill="auto"/>
            <w:vAlign w:val="center"/>
          </w:tcPr>
          <w:p w14:paraId="3B693887"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0.710</w:t>
            </w:r>
          </w:p>
        </w:tc>
      </w:tr>
      <w:tr w:rsidR="00FB785E" w:rsidRPr="004825BB" w14:paraId="43546C2E" w14:textId="77777777" w:rsidTr="007202E4">
        <w:tc>
          <w:tcPr>
            <w:tcW w:w="2977" w:type="dxa"/>
            <w:tcBorders>
              <w:top w:val="nil"/>
              <w:left w:val="nil"/>
              <w:bottom w:val="nil"/>
              <w:right w:val="nil"/>
            </w:tcBorders>
            <w:shd w:val="clear" w:color="auto" w:fill="auto"/>
            <w:vAlign w:val="center"/>
          </w:tcPr>
          <w:p w14:paraId="77C19291"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Q3: 8</w:t>
            </w:r>
            <w:r w:rsidR="00227CB7" w:rsidRPr="004825BB">
              <w:rPr>
                <w:szCs w:val="16"/>
              </w:rPr>
              <w:t>2–86</w:t>
            </w:r>
          </w:p>
        </w:tc>
        <w:tc>
          <w:tcPr>
            <w:tcW w:w="1134" w:type="dxa"/>
            <w:tcBorders>
              <w:top w:val="nil"/>
              <w:left w:val="nil"/>
              <w:bottom w:val="nil"/>
              <w:right w:val="nil"/>
            </w:tcBorders>
            <w:shd w:val="clear" w:color="auto" w:fill="auto"/>
            <w:vAlign w:val="center"/>
          </w:tcPr>
          <w:p w14:paraId="5820CD1E"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70.210</w:t>
            </w:r>
          </w:p>
        </w:tc>
        <w:tc>
          <w:tcPr>
            <w:tcW w:w="1134" w:type="dxa"/>
            <w:tcBorders>
              <w:top w:val="nil"/>
              <w:left w:val="nil"/>
              <w:bottom w:val="nil"/>
              <w:right w:val="nil"/>
            </w:tcBorders>
            <w:shd w:val="clear" w:color="auto" w:fill="auto"/>
            <w:vAlign w:val="center"/>
          </w:tcPr>
          <w:p w14:paraId="7D69EF41"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0.780</w:t>
            </w:r>
          </w:p>
        </w:tc>
        <w:tc>
          <w:tcPr>
            <w:tcW w:w="992" w:type="dxa"/>
            <w:tcBorders>
              <w:top w:val="nil"/>
              <w:left w:val="nil"/>
              <w:bottom w:val="nil"/>
              <w:right w:val="nil"/>
            </w:tcBorders>
            <w:shd w:val="clear" w:color="auto" w:fill="auto"/>
            <w:vAlign w:val="center"/>
          </w:tcPr>
          <w:p w14:paraId="640C9E60"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69.290</w:t>
            </w:r>
          </w:p>
        </w:tc>
        <w:tc>
          <w:tcPr>
            <w:tcW w:w="1134" w:type="dxa"/>
            <w:tcBorders>
              <w:top w:val="nil"/>
              <w:left w:val="nil"/>
              <w:bottom w:val="nil"/>
              <w:right w:val="nil"/>
            </w:tcBorders>
            <w:shd w:val="clear" w:color="auto" w:fill="auto"/>
            <w:vAlign w:val="center"/>
          </w:tcPr>
          <w:p w14:paraId="5324BC30"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0.690</w:t>
            </w:r>
          </w:p>
        </w:tc>
      </w:tr>
      <w:tr w:rsidR="00FB785E" w:rsidRPr="004825BB" w14:paraId="5579A959" w14:textId="77777777" w:rsidTr="007202E4">
        <w:tc>
          <w:tcPr>
            <w:tcW w:w="2977" w:type="dxa"/>
            <w:tcBorders>
              <w:top w:val="nil"/>
              <w:left w:val="nil"/>
              <w:bottom w:val="single" w:sz="4" w:space="0" w:color="auto"/>
              <w:right w:val="nil"/>
            </w:tcBorders>
            <w:shd w:val="clear" w:color="auto" w:fill="auto"/>
            <w:vAlign w:val="center"/>
          </w:tcPr>
          <w:p w14:paraId="18C70C63"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Q4: 8</w:t>
            </w:r>
            <w:r w:rsidR="00227CB7" w:rsidRPr="004825BB">
              <w:rPr>
                <w:szCs w:val="16"/>
              </w:rPr>
              <w:t>7–97</w:t>
            </w:r>
          </w:p>
        </w:tc>
        <w:tc>
          <w:tcPr>
            <w:tcW w:w="1134" w:type="dxa"/>
            <w:tcBorders>
              <w:top w:val="nil"/>
              <w:left w:val="nil"/>
              <w:bottom w:val="single" w:sz="4" w:space="0" w:color="auto"/>
              <w:right w:val="nil"/>
            </w:tcBorders>
            <w:shd w:val="clear" w:color="auto" w:fill="auto"/>
            <w:vAlign w:val="center"/>
          </w:tcPr>
          <w:p w14:paraId="2732E61E"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72.200</w:t>
            </w:r>
          </w:p>
        </w:tc>
        <w:tc>
          <w:tcPr>
            <w:tcW w:w="1134" w:type="dxa"/>
            <w:tcBorders>
              <w:top w:val="nil"/>
              <w:left w:val="nil"/>
              <w:bottom w:val="single" w:sz="4" w:space="0" w:color="auto"/>
              <w:right w:val="nil"/>
            </w:tcBorders>
            <w:shd w:val="clear" w:color="auto" w:fill="auto"/>
            <w:vAlign w:val="center"/>
          </w:tcPr>
          <w:p w14:paraId="66B2D08F"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0.660</w:t>
            </w:r>
          </w:p>
        </w:tc>
        <w:tc>
          <w:tcPr>
            <w:tcW w:w="992" w:type="dxa"/>
            <w:tcBorders>
              <w:top w:val="nil"/>
              <w:left w:val="nil"/>
              <w:bottom w:val="single" w:sz="4" w:space="0" w:color="auto"/>
              <w:right w:val="nil"/>
            </w:tcBorders>
            <w:shd w:val="clear" w:color="auto" w:fill="auto"/>
            <w:vAlign w:val="center"/>
          </w:tcPr>
          <w:p w14:paraId="74F7D89C"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65.000</w:t>
            </w:r>
          </w:p>
        </w:tc>
        <w:tc>
          <w:tcPr>
            <w:tcW w:w="1134" w:type="dxa"/>
            <w:tcBorders>
              <w:top w:val="nil"/>
              <w:left w:val="nil"/>
              <w:bottom w:val="single" w:sz="4" w:space="0" w:color="auto"/>
              <w:right w:val="nil"/>
            </w:tcBorders>
            <w:shd w:val="clear" w:color="auto" w:fill="auto"/>
            <w:vAlign w:val="center"/>
          </w:tcPr>
          <w:p w14:paraId="633DD0A1"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0.610</w:t>
            </w:r>
          </w:p>
        </w:tc>
      </w:tr>
      <w:tr w:rsidR="00FB785E" w:rsidRPr="004825BB" w14:paraId="1E488A65" w14:textId="77777777" w:rsidTr="007202E4">
        <w:tc>
          <w:tcPr>
            <w:tcW w:w="2977" w:type="dxa"/>
            <w:tcBorders>
              <w:left w:val="nil"/>
              <w:bottom w:val="single" w:sz="4" w:space="0" w:color="auto"/>
              <w:right w:val="nil"/>
            </w:tcBorders>
            <w:shd w:val="clear" w:color="auto" w:fill="auto"/>
            <w:vAlign w:val="center"/>
          </w:tcPr>
          <w:p w14:paraId="376294A6" w14:textId="77777777" w:rsidR="00FB785E" w:rsidRPr="004825BB" w:rsidRDefault="00043EA3" w:rsidP="007202E4">
            <w:pPr>
              <w:autoSpaceDE w:val="0"/>
              <w:autoSpaceDN w:val="0"/>
              <w:adjustRightInd w:val="0"/>
              <w:snapToGrid w:val="0"/>
              <w:spacing w:line="240" w:lineRule="auto"/>
              <w:jc w:val="center"/>
              <w:rPr>
                <w:szCs w:val="16"/>
              </w:rPr>
            </w:pPr>
            <w:r w:rsidRPr="004825BB">
              <w:rPr>
                <w:i/>
                <w:szCs w:val="16"/>
              </w:rPr>
              <w:t>p</w:t>
            </w:r>
            <w:r w:rsidR="00FB785E" w:rsidRPr="004825BB">
              <w:rPr>
                <w:szCs w:val="16"/>
              </w:rPr>
              <w:t xml:space="preserve"> value</w:t>
            </w:r>
          </w:p>
        </w:tc>
        <w:tc>
          <w:tcPr>
            <w:tcW w:w="1134" w:type="dxa"/>
            <w:tcBorders>
              <w:left w:val="nil"/>
              <w:bottom w:val="single" w:sz="4" w:space="0" w:color="auto"/>
              <w:right w:val="nil"/>
            </w:tcBorders>
            <w:shd w:val="clear" w:color="auto" w:fill="auto"/>
            <w:vAlign w:val="center"/>
          </w:tcPr>
          <w:p w14:paraId="5BED6B8F"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0.114</w:t>
            </w:r>
          </w:p>
        </w:tc>
        <w:tc>
          <w:tcPr>
            <w:tcW w:w="1134" w:type="dxa"/>
            <w:tcBorders>
              <w:left w:val="nil"/>
              <w:bottom w:val="single" w:sz="4" w:space="0" w:color="auto"/>
              <w:right w:val="nil"/>
            </w:tcBorders>
            <w:shd w:val="clear" w:color="auto" w:fill="auto"/>
            <w:vAlign w:val="center"/>
          </w:tcPr>
          <w:p w14:paraId="3E444330" w14:textId="77777777" w:rsidR="00FB785E" w:rsidRPr="004825BB" w:rsidRDefault="00FB785E" w:rsidP="007202E4">
            <w:pPr>
              <w:autoSpaceDE w:val="0"/>
              <w:autoSpaceDN w:val="0"/>
              <w:adjustRightInd w:val="0"/>
              <w:snapToGrid w:val="0"/>
              <w:spacing w:line="240" w:lineRule="auto"/>
              <w:jc w:val="center"/>
              <w:rPr>
                <w:b/>
                <w:szCs w:val="16"/>
              </w:rPr>
            </w:pPr>
            <w:r w:rsidRPr="004825BB">
              <w:rPr>
                <w:b/>
                <w:szCs w:val="16"/>
              </w:rPr>
              <w:t>0.014</w:t>
            </w:r>
          </w:p>
        </w:tc>
        <w:tc>
          <w:tcPr>
            <w:tcW w:w="992" w:type="dxa"/>
            <w:tcBorders>
              <w:left w:val="nil"/>
              <w:bottom w:val="single" w:sz="4" w:space="0" w:color="auto"/>
              <w:right w:val="nil"/>
            </w:tcBorders>
            <w:shd w:val="clear" w:color="auto" w:fill="auto"/>
            <w:vAlign w:val="center"/>
          </w:tcPr>
          <w:p w14:paraId="5BD2540A" w14:textId="77777777" w:rsidR="00FB785E" w:rsidRPr="004825BB" w:rsidRDefault="00FB785E" w:rsidP="007202E4">
            <w:pPr>
              <w:autoSpaceDE w:val="0"/>
              <w:autoSpaceDN w:val="0"/>
              <w:adjustRightInd w:val="0"/>
              <w:snapToGrid w:val="0"/>
              <w:spacing w:line="240" w:lineRule="auto"/>
              <w:jc w:val="center"/>
              <w:rPr>
                <w:b/>
                <w:szCs w:val="16"/>
              </w:rPr>
            </w:pPr>
            <w:r w:rsidRPr="004825BB">
              <w:rPr>
                <w:b/>
                <w:szCs w:val="16"/>
              </w:rPr>
              <w:t>0.017</w:t>
            </w:r>
          </w:p>
        </w:tc>
        <w:tc>
          <w:tcPr>
            <w:tcW w:w="1134" w:type="dxa"/>
            <w:tcBorders>
              <w:left w:val="nil"/>
              <w:bottom w:val="single" w:sz="4" w:space="0" w:color="auto"/>
              <w:right w:val="nil"/>
            </w:tcBorders>
            <w:shd w:val="clear" w:color="auto" w:fill="auto"/>
            <w:vAlign w:val="center"/>
          </w:tcPr>
          <w:p w14:paraId="2EEEE80A" w14:textId="77777777" w:rsidR="00FB785E" w:rsidRPr="004825BB" w:rsidRDefault="00FB785E" w:rsidP="007202E4">
            <w:pPr>
              <w:autoSpaceDE w:val="0"/>
              <w:autoSpaceDN w:val="0"/>
              <w:adjustRightInd w:val="0"/>
              <w:snapToGrid w:val="0"/>
              <w:spacing w:line="240" w:lineRule="auto"/>
              <w:jc w:val="center"/>
              <w:rPr>
                <w:b/>
                <w:szCs w:val="16"/>
              </w:rPr>
            </w:pPr>
            <w:r w:rsidRPr="004825BB">
              <w:rPr>
                <w:b/>
                <w:szCs w:val="16"/>
              </w:rPr>
              <w:t>0.000</w:t>
            </w:r>
          </w:p>
        </w:tc>
      </w:tr>
      <w:tr w:rsidR="00FB785E" w:rsidRPr="004825BB" w14:paraId="5F05CD5C" w14:textId="77777777" w:rsidTr="007202E4">
        <w:tc>
          <w:tcPr>
            <w:tcW w:w="2977" w:type="dxa"/>
            <w:tcBorders>
              <w:top w:val="single" w:sz="4" w:space="0" w:color="auto"/>
              <w:left w:val="nil"/>
              <w:bottom w:val="nil"/>
              <w:right w:val="nil"/>
            </w:tcBorders>
            <w:shd w:val="clear" w:color="auto" w:fill="auto"/>
            <w:vAlign w:val="center"/>
          </w:tcPr>
          <w:p w14:paraId="5FF21876"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Receipt of treatment</w:t>
            </w:r>
          </w:p>
        </w:tc>
        <w:tc>
          <w:tcPr>
            <w:tcW w:w="1134" w:type="dxa"/>
            <w:tcBorders>
              <w:top w:val="single" w:sz="4" w:space="0" w:color="auto"/>
              <w:left w:val="nil"/>
              <w:bottom w:val="nil"/>
              <w:right w:val="nil"/>
            </w:tcBorders>
            <w:shd w:val="clear" w:color="auto" w:fill="auto"/>
            <w:vAlign w:val="center"/>
          </w:tcPr>
          <w:p w14:paraId="65A1438D" w14:textId="77777777" w:rsidR="00FB785E" w:rsidRPr="004825BB" w:rsidRDefault="00FB785E" w:rsidP="007202E4">
            <w:pPr>
              <w:autoSpaceDE w:val="0"/>
              <w:autoSpaceDN w:val="0"/>
              <w:adjustRightInd w:val="0"/>
              <w:snapToGrid w:val="0"/>
              <w:spacing w:line="240" w:lineRule="auto"/>
              <w:jc w:val="center"/>
              <w:rPr>
                <w:szCs w:val="16"/>
              </w:rPr>
            </w:pPr>
          </w:p>
        </w:tc>
        <w:tc>
          <w:tcPr>
            <w:tcW w:w="1134" w:type="dxa"/>
            <w:tcBorders>
              <w:top w:val="single" w:sz="4" w:space="0" w:color="auto"/>
              <w:left w:val="nil"/>
              <w:bottom w:val="nil"/>
              <w:right w:val="nil"/>
            </w:tcBorders>
            <w:shd w:val="clear" w:color="auto" w:fill="auto"/>
            <w:vAlign w:val="center"/>
          </w:tcPr>
          <w:p w14:paraId="76A96C82" w14:textId="77777777" w:rsidR="00FB785E" w:rsidRPr="004825BB" w:rsidRDefault="00FB785E" w:rsidP="007202E4">
            <w:pPr>
              <w:autoSpaceDE w:val="0"/>
              <w:autoSpaceDN w:val="0"/>
              <w:adjustRightInd w:val="0"/>
              <w:snapToGrid w:val="0"/>
              <w:spacing w:line="240" w:lineRule="auto"/>
              <w:jc w:val="center"/>
              <w:rPr>
                <w:szCs w:val="16"/>
              </w:rPr>
            </w:pPr>
          </w:p>
        </w:tc>
        <w:tc>
          <w:tcPr>
            <w:tcW w:w="992" w:type="dxa"/>
            <w:tcBorders>
              <w:top w:val="single" w:sz="4" w:space="0" w:color="auto"/>
              <w:left w:val="nil"/>
              <w:bottom w:val="nil"/>
              <w:right w:val="nil"/>
            </w:tcBorders>
            <w:shd w:val="clear" w:color="auto" w:fill="auto"/>
            <w:vAlign w:val="center"/>
          </w:tcPr>
          <w:p w14:paraId="5CB4B3D5" w14:textId="77777777" w:rsidR="00FB785E" w:rsidRPr="004825BB" w:rsidRDefault="00FB785E" w:rsidP="007202E4">
            <w:pPr>
              <w:autoSpaceDE w:val="0"/>
              <w:autoSpaceDN w:val="0"/>
              <w:adjustRightInd w:val="0"/>
              <w:snapToGrid w:val="0"/>
              <w:spacing w:line="240" w:lineRule="auto"/>
              <w:jc w:val="center"/>
              <w:rPr>
                <w:szCs w:val="16"/>
              </w:rPr>
            </w:pPr>
          </w:p>
        </w:tc>
        <w:tc>
          <w:tcPr>
            <w:tcW w:w="1134" w:type="dxa"/>
            <w:tcBorders>
              <w:top w:val="single" w:sz="4" w:space="0" w:color="auto"/>
              <w:left w:val="nil"/>
              <w:bottom w:val="nil"/>
              <w:right w:val="nil"/>
            </w:tcBorders>
            <w:shd w:val="clear" w:color="auto" w:fill="auto"/>
            <w:vAlign w:val="center"/>
          </w:tcPr>
          <w:p w14:paraId="1B63CEEB" w14:textId="77777777" w:rsidR="00FB785E" w:rsidRPr="004825BB" w:rsidRDefault="00FB785E" w:rsidP="007202E4">
            <w:pPr>
              <w:autoSpaceDE w:val="0"/>
              <w:autoSpaceDN w:val="0"/>
              <w:adjustRightInd w:val="0"/>
              <w:snapToGrid w:val="0"/>
              <w:spacing w:line="240" w:lineRule="auto"/>
              <w:jc w:val="center"/>
              <w:rPr>
                <w:szCs w:val="16"/>
              </w:rPr>
            </w:pPr>
          </w:p>
        </w:tc>
      </w:tr>
      <w:tr w:rsidR="00FB785E" w:rsidRPr="004825BB" w14:paraId="075F46FA" w14:textId="77777777" w:rsidTr="007202E4">
        <w:tc>
          <w:tcPr>
            <w:tcW w:w="2977" w:type="dxa"/>
            <w:tcBorders>
              <w:top w:val="nil"/>
              <w:left w:val="nil"/>
              <w:bottom w:val="nil"/>
              <w:right w:val="nil"/>
            </w:tcBorders>
            <w:shd w:val="clear" w:color="auto" w:fill="auto"/>
            <w:vAlign w:val="center"/>
          </w:tcPr>
          <w:p w14:paraId="7CA420E7"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One eye</w:t>
            </w:r>
          </w:p>
        </w:tc>
        <w:tc>
          <w:tcPr>
            <w:tcW w:w="1134" w:type="dxa"/>
            <w:tcBorders>
              <w:top w:val="nil"/>
              <w:left w:val="nil"/>
              <w:bottom w:val="nil"/>
              <w:right w:val="nil"/>
            </w:tcBorders>
            <w:shd w:val="clear" w:color="auto" w:fill="auto"/>
            <w:vAlign w:val="center"/>
          </w:tcPr>
          <w:p w14:paraId="3F8F3FFE"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79.670</w:t>
            </w:r>
          </w:p>
        </w:tc>
        <w:tc>
          <w:tcPr>
            <w:tcW w:w="1134" w:type="dxa"/>
            <w:tcBorders>
              <w:top w:val="nil"/>
              <w:left w:val="nil"/>
              <w:bottom w:val="nil"/>
              <w:right w:val="nil"/>
            </w:tcBorders>
            <w:shd w:val="clear" w:color="auto" w:fill="auto"/>
            <w:vAlign w:val="center"/>
          </w:tcPr>
          <w:p w14:paraId="7596D9B3"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0.770</w:t>
            </w:r>
          </w:p>
        </w:tc>
        <w:tc>
          <w:tcPr>
            <w:tcW w:w="992" w:type="dxa"/>
            <w:tcBorders>
              <w:top w:val="nil"/>
              <w:left w:val="nil"/>
              <w:bottom w:val="nil"/>
              <w:right w:val="nil"/>
            </w:tcBorders>
            <w:shd w:val="clear" w:color="auto" w:fill="auto"/>
            <w:vAlign w:val="center"/>
          </w:tcPr>
          <w:p w14:paraId="372A8D7B"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72.820</w:t>
            </w:r>
          </w:p>
        </w:tc>
        <w:tc>
          <w:tcPr>
            <w:tcW w:w="1134" w:type="dxa"/>
            <w:tcBorders>
              <w:top w:val="nil"/>
              <w:left w:val="nil"/>
              <w:bottom w:val="nil"/>
              <w:right w:val="nil"/>
            </w:tcBorders>
            <w:shd w:val="clear" w:color="auto" w:fill="auto"/>
            <w:vAlign w:val="center"/>
          </w:tcPr>
          <w:p w14:paraId="76827F6C"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0.730</w:t>
            </w:r>
          </w:p>
        </w:tc>
      </w:tr>
      <w:tr w:rsidR="00FB785E" w:rsidRPr="004825BB" w14:paraId="734B63C4" w14:textId="77777777" w:rsidTr="007202E4">
        <w:tc>
          <w:tcPr>
            <w:tcW w:w="2977" w:type="dxa"/>
            <w:tcBorders>
              <w:top w:val="nil"/>
              <w:left w:val="nil"/>
              <w:bottom w:val="single" w:sz="4" w:space="0" w:color="auto"/>
              <w:right w:val="nil"/>
            </w:tcBorders>
            <w:shd w:val="clear" w:color="auto" w:fill="auto"/>
            <w:vAlign w:val="center"/>
          </w:tcPr>
          <w:p w14:paraId="6D32984B"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Both eyes</w:t>
            </w:r>
          </w:p>
        </w:tc>
        <w:tc>
          <w:tcPr>
            <w:tcW w:w="1134" w:type="dxa"/>
            <w:tcBorders>
              <w:top w:val="nil"/>
              <w:left w:val="nil"/>
              <w:bottom w:val="single" w:sz="4" w:space="0" w:color="auto"/>
              <w:right w:val="nil"/>
            </w:tcBorders>
            <w:shd w:val="clear" w:color="auto" w:fill="auto"/>
            <w:vAlign w:val="center"/>
          </w:tcPr>
          <w:p w14:paraId="49096D48"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69.310</w:t>
            </w:r>
          </w:p>
        </w:tc>
        <w:tc>
          <w:tcPr>
            <w:tcW w:w="1134" w:type="dxa"/>
            <w:tcBorders>
              <w:top w:val="nil"/>
              <w:left w:val="nil"/>
              <w:bottom w:val="single" w:sz="4" w:space="0" w:color="auto"/>
              <w:right w:val="nil"/>
            </w:tcBorders>
            <w:shd w:val="clear" w:color="auto" w:fill="auto"/>
            <w:vAlign w:val="center"/>
          </w:tcPr>
          <w:p w14:paraId="09B23CB3"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0.690</w:t>
            </w:r>
          </w:p>
        </w:tc>
        <w:tc>
          <w:tcPr>
            <w:tcW w:w="992" w:type="dxa"/>
            <w:tcBorders>
              <w:top w:val="nil"/>
              <w:left w:val="nil"/>
              <w:bottom w:val="single" w:sz="4" w:space="0" w:color="auto"/>
              <w:right w:val="nil"/>
            </w:tcBorders>
            <w:shd w:val="clear" w:color="auto" w:fill="auto"/>
            <w:vAlign w:val="center"/>
          </w:tcPr>
          <w:p w14:paraId="15CF54D4"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67.310</w:t>
            </w:r>
          </w:p>
        </w:tc>
        <w:tc>
          <w:tcPr>
            <w:tcW w:w="1134" w:type="dxa"/>
            <w:tcBorders>
              <w:top w:val="nil"/>
              <w:left w:val="nil"/>
              <w:bottom w:val="single" w:sz="4" w:space="0" w:color="auto"/>
              <w:right w:val="nil"/>
            </w:tcBorders>
            <w:shd w:val="clear" w:color="auto" w:fill="auto"/>
            <w:vAlign w:val="center"/>
          </w:tcPr>
          <w:p w14:paraId="4DF60C87"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0.690</w:t>
            </w:r>
          </w:p>
        </w:tc>
      </w:tr>
      <w:tr w:rsidR="00FB785E" w:rsidRPr="004825BB" w14:paraId="5AC42AA7" w14:textId="77777777" w:rsidTr="007202E4">
        <w:tc>
          <w:tcPr>
            <w:tcW w:w="2977" w:type="dxa"/>
            <w:tcBorders>
              <w:top w:val="single" w:sz="4" w:space="0" w:color="auto"/>
              <w:left w:val="nil"/>
              <w:bottom w:val="single" w:sz="4" w:space="0" w:color="auto"/>
              <w:right w:val="nil"/>
            </w:tcBorders>
            <w:shd w:val="clear" w:color="auto" w:fill="auto"/>
            <w:vAlign w:val="center"/>
          </w:tcPr>
          <w:p w14:paraId="2E3F5668" w14:textId="77777777" w:rsidR="00FB785E" w:rsidRPr="004825BB" w:rsidRDefault="00043EA3" w:rsidP="007202E4">
            <w:pPr>
              <w:autoSpaceDE w:val="0"/>
              <w:autoSpaceDN w:val="0"/>
              <w:adjustRightInd w:val="0"/>
              <w:snapToGrid w:val="0"/>
              <w:spacing w:line="240" w:lineRule="auto"/>
              <w:jc w:val="center"/>
              <w:rPr>
                <w:szCs w:val="16"/>
              </w:rPr>
            </w:pPr>
            <w:r w:rsidRPr="004825BB">
              <w:rPr>
                <w:i/>
                <w:szCs w:val="16"/>
              </w:rPr>
              <w:t>p</w:t>
            </w:r>
            <w:r w:rsidR="00FB785E" w:rsidRPr="004825BB">
              <w:rPr>
                <w:szCs w:val="16"/>
              </w:rPr>
              <w:t xml:space="preserve"> value</w:t>
            </w:r>
          </w:p>
        </w:tc>
        <w:tc>
          <w:tcPr>
            <w:tcW w:w="1134" w:type="dxa"/>
            <w:tcBorders>
              <w:top w:val="single" w:sz="4" w:space="0" w:color="auto"/>
              <w:left w:val="nil"/>
              <w:bottom w:val="single" w:sz="4" w:space="0" w:color="auto"/>
              <w:right w:val="nil"/>
            </w:tcBorders>
            <w:shd w:val="clear" w:color="auto" w:fill="auto"/>
            <w:vAlign w:val="center"/>
          </w:tcPr>
          <w:p w14:paraId="4EE2A587" w14:textId="77777777" w:rsidR="00FB785E" w:rsidRPr="004825BB" w:rsidRDefault="00FB785E" w:rsidP="007202E4">
            <w:pPr>
              <w:autoSpaceDE w:val="0"/>
              <w:autoSpaceDN w:val="0"/>
              <w:adjustRightInd w:val="0"/>
              <w:snapToGrid w:val="0"/>
              <w:spacing w:line="240" w:lineRule="auto"/>
              <w:jc w:val="center"/>
              <w:rPr>
                <w:b/>
                <w:color w:val="000000" w:themeColor="text1"/>
                <w:szCs w:val="16"/>
              </w:rPr>
            </w:pPr>
            <w:r w:rsidRPr="004825BB">
              <w:rPr>
                <w:b/>
                <w:color w:val="000000" w:themeColor="text1"/>
                <w:szCs w:val="16"/>
              </w:rPr>
              <w:t>0.015</w:t>
            </w:r>
          </w:p>
        </w:tc>
        <w:tc>
          <w:tcPr>
            <w:tcW w:w="1134" w:type="dxa"/>
            <w:tcBorders>
              <w:top w:val="single" w:sz="4" w:space="0" w:color="auto"/>
              <w:left w:val="nil"/>
              <w:bottom w:val="single" w:sz="4" w:space="0" w:color="auto"/>
              <w:right w:val="nil"/>
            </w:tcBorders>
            <w:shd w:val="clear" w:color="auto" w:fill="auto"/>
            <w:vAlign w:val="center"/>
          </w:tcPr>
          <w:p w14:paraId="67F50C66" w14:textId="77777777" w:rsidR="00FB785E" w:rsidRPr="004825BB" w:rsidRDefault="00FB785E" w:rsidP="007202E4">
            <w:pPr>
              <w:autoSpaceDE w:val="0"/>
              <w:autoSpaceDN w:val="0"/>
              <w:adjustRightInd w:val="0"/>
              <w:snapToGrid w:val="0"/>
              <w:spacing w:line="240" w:lineRule="auto"/>
              <w:jc w:val="center"/>
              <w:rPr>
                <w:b/>
                <w:color w:val="000000" w:themeColor="text1"/>
                <w:szCs w:val="16"/>
              </w:rPr>
            </w:pPr>
            <w:r w:rsidRPr="004825BB">
              <w:rPr>
                <w:b/>
                <w:color w:val="000000" w:themeColor="text1"/>
                <w:szCs w:val="16"/>
              </w:rPr>
              <w:t>0.041</w:t>
            </w:r>
          </w:p>
        </w:tc>
        <w:tc>
          <w:tcPr>
            <w:tcW w:w="992" w:type="dxa"/>
            <w:tcBorders>
              <w:top w:val="single" w:sz="4" w:space="0" w:color="auto"/>
              <w:left w:val="nil"/>
              <w:bottom w:val="single" w:sz="4" w:space="0" w:color="auto"/>
              <w:right w:val="nil"/>
            </w:tcBorders>
            <w:shd w:val="clear" w:color="auto" w:fill="auto"/>
            <w:vAlign w:val="center"/>
          </w:tcPr>
          <w:p w14:paraId="3EE99586"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0.142</w:t>
            </w:r>
          </w:p>
        </w:tc>
        <w:tc>
          <w:tcPr>
            <w:tcW w:w="1134" w:type="dxa"/>
            <w:tcBorders>
              <w:top w:val="single" w:sz="4" w:space="0" w:color="auto"/>
              <w:left w:val="nil"/>
              <w:bottom w:val="single" w:sz="4" w:space="0" w:color="auto"/>
              <w:right w:val="nil"/>
            </w:tcBorders>
            <w:shd w:val="clear" w:color="auto" w:fill="auto"/>
            <w:vAlign w:val="center"/>
          </w:tcPr>
          <w:p w14:paraId="221A01CF"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0.431</w:t>
            </w:r>
          </w:p>
        </w:tc>
      </w:tr>
      <w:tr w:rsidR="00FB785E" w:rsidRPr="004825BB" w14:paraId="1828E164" w14:textId="77777777" w:rsidTr="007202E4">
        <w:tc>
          <w:tcPr>
            <w:tcW w:w="2977" w:type="dxa"/>
            <w:tcBorders>
              <w:top w:val="single" w:sz="4" w:space="0" w:color="auto"/>
              <w:left w:val="nil"/>
              <w:bottom w:val="nil"/>
              <w:right w:val="nil"/>
            </w:tcBorders>
            <w:shd w:val="clear" w:color="auto" w:fill="auto"/>
            <w:vAlign w:val="center"/>
          </w:tcPr>
          <w:p w14:paraId="32A53B4F"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Visual impairment</w:t>
            </w:r>
          </w:p>
        </w:tc>
        <w:tc>
          <w:tcPr>
            <w:tcW w:w="1134" w:type="dxa"/>
            <w:tcBorders>
              <w:top w:val="single" w:sz="4" w:space="0" w:color="auto"/>
              <w:left w:val="nil"/>
              <w:bottom w:val="nil"/>
              <w:right w:val="nil"/>
            </w:tcBorders>
            <w:shd w:val="clear" w:color="auto" w:fill="auto"/>
            <w:vAlign w:val="center"/>
          </w:tcPr>
          <w:p w14:paraId="07E11C18" w14:textId="77777777" w:rsidR="00FB785E" w:rsidRPr="004825BB" w:rsidRDefault="00FB785E" w:rsidP="007202E4">
            <w:pPr>
              <w:autoSpaceDE w:val="0"/>
              <w:autoSpaceDN w:val="0"/>
              <w:adjustRightInd w:val="0"/>
              <w:snapToGrid w:val="0"/>
              <w:spacing w:line="240" w:lineRule="auto"/>
              <w:jc w:val="center"/>
              <w:rPr>
                <w:szCs w:val="16"/>
              </w:rPr>
            </w:pPr>
          </w:p>
        </w:tc>
        <w:tc>
          <w:tcPr>
            <w:tcW w:w="1134" w:type="dxa"/>
            <w:tcBorders>
              <w:top w:val="single" w:sz="4" w:space="0" w:color="auto"/>
              <w:left w:val="nil"/>
              <w:bottom w:val="nil"/>
              <w:right w:val="nil"/>
            </w:tcBorders>
            <w:shd w:val="clear" w:color="auto" w:fill="auto"/>
            <w:vAlign w:val="center"/>
          </w:tcPr>
          <w:p w14:paraId="61FF88C0" w14:textId="77777777" w:rsidR="00FB785E" w:rsidRPr="004825BB" w:rsidRDefault="00FB785E" w:rsidP="007202E4">
            <w:pPr>
              <w:autoSpaceDE w:val="0"/>
              <w:autoSpaceDN w:val="0"/>
              <w:adjustRightInd w:val="0"/>
              <w:snapToGrid w:val="0"/>
              <w:spacing w:line="240" w:lineRule="auto"/>
              <w:jc w:val="center"/>
              <w:rPr>
                <w:szCs w:val="16"/>
              </w:rPr>
            </w:pPr>
          </w:p>
        </w:tc>
        <w:tc>
          <w:tcPr>
            <w:tcW w:w="992" w:type="dxa"/>
            <w:tcBorders>
              <w:top w:val="single" w:sz="4" w:space="0" w:color="auto"/>
              <w:left w:val="nil"/>
              <w:bottom w:val="nil"/>
              <w:right w:val="nil"/>
            </w:tcBorders>
            <w:shd w:val="clear" w:color="auto" w:fill="auto"/>
            <w:vAlign w:val="center"/>
          </w:tcPr>
          <w:p w14:paraId="232E2B42" w14:textId="77777777" w:rsidR="00FB785E" w:rsidRPr="004825BB" w:rsidRDefault="00FB785E" w:rsidP="007202E4">
            <w:pPr>
              <w:autoSpaceDE w:val="0"/>
              <w:autoSpaceDN w:val="0"/>
              <w:adjustRightInd w:val="0"/>
              <w:snapToGrid w:val="0"/>
              <w:spacing w:line="240" w:lineRule="auto"/>
              <w:jc w:val="center"/>
              <w:rPr>
                <w:szCs w:val="16"/>
              </w:rPr>
            </w:pPr>
          </w:p>
        </w:tc>
        <w:tc>
          <w:tcPr>
            <w:tcW w:w="1134" w:type="dxa"/>
            <w:tcBorders>
              <w:top w:val="single" w:sz="4" w:space="0" w:color="auto"/>
              <w:left w:val="nil"/>
              <w:bottom w:val="nil"/>
              <w:right w:val="nil"/>
            </w:tcBorders>
            <w:shd w:val="clear" w:color="auto" w:fill="auto"/>
            <w:vAlign w:val="center"/>
          </w:tcPr>
          <w:p w14:paraId="3D3E3FF8" w14:textId="77777777" w:rsidR="00FB785E" w:rsidRPr="004825BB" w:rsidRDefault="00FB785E" w:rsidP="007202E4">
            <w:pPr>
              <w:autoSpaceDE w:val="0"/>
              <w:autoSpaceDN w:val="0"/>
              <w:adjustRightInd w:val="0"/>
              <w:snapToGrid w:val="0"/>
              <w:spacing w:line="240" w:lineRule="auto"/>
              <w:jc w:val="center"/>
              <w:rPr>
                <w:szCs w:val="16"/>
              </w:rPr>
            </w:pPr>
          </w:p>
        </w:tc>
      </w:tr>
      <w:tr w:rsidR="00FB785E" w:rsidRPr="004825BB" w14:paraId="20EB8A5C" w14:textId="77777777" w:rsidTr="007202E4">
        <w:tc>
          <w:tcPr>
            <w:tcW w:w="2977" w:type="dxa"/>
            <w:tcBorders>
              <w:top w:val="nil"/>
              <w:left w:val="nil"/>
              <w:bottom w:val="nil"/>
              <w:right w:val="nil"/>
            </w:tcBorders>
            <w:shd w:val="clear" w:color="auto" w:fill="auto"/>
            <w:vAlign w:val="center"/>
          </w:tcPr>
          <w:p w14:paraId="735B7A10"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No impairment (</w:t>
            </w:r>
            <w:r w:rsidR="00F07CEB" w:rsidRPr="004825BB">
              <w:rPr>
                <w:szCs w:val="16"/>
              </w:rPr>
              <w:t>≤</w:t>
            </w:r>
            <w:r w:rsidRPr="004825BB">
              <w:rPr>
                <w:szCs w:val="16"/>
              </w:rPr>
              <w:t>0.3)</w:t>
            </w:r>
          </w:p>
        </w:tc>
        <w:tc>
          <w:tcPr>
            <w:tcW w:w="1134" w:type="dxa"/>
            <w:tcBorders>
              <w:top w:val="nil"/>
              <w:left w:val="nil"/>
              <w:bottom w:val="nil"/>
              <w:right w:val="nil"/>
            </w:tcBorders>
            <w:shd w:val="clear" w:color="auto" w:fill="auto"/>
            <w:vAlign w:val="center"/>
          </w:tcPr>
          <w:p w14:paraId="1766B59F"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75.560</w:t>
            </w:r>
          </w:p>
        </w:tc>
        <w:tc>
          <w:tcPr>
            <w:tcW w:w="1134" w:type="dxa"/>
            <w:tcBorders>
              <w:top w:val="nil"/>
              <w:left w:val="nil"/>
              <w:bottom w:val="nil"/>
              <w:right w:val="nil"/>
            </w:tcBorders>
            <w:shd w:val="clear" w:color="auto" w:fill="auto"/>
            <w:vAlign w:val="center"/>
          </w:tcPr>
          <w:p w14:paraId="5A524756"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0.770</w:t>
            </w:r>
          </w:p>
        </w:tc>
        <w:tc>
          <w:tcPr>
            <w:tcW w:w="992" w:type="dxa"/>
            <w:tcBorders>
              <w:top w:val="nil"/>
              <w:left w:val="nil"/>
              <w:bottom w:val="nil"/>
              <w:right w:val="nil"/>
            </w:tcBorders>
            <w:shd w:val="clear" w:color="auto" w:fill="auto"/>
            <w:vAlign w:val="center"/>
          </w:tcPr>
          <w:p w14:paraId="21879F63"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72.880</w:t>
            </w:r>
          </w:p>
        </w:tc>
        <w:tc>
          <w:tcPr>
            <w:tcW w:w="1134" w:type="dxa"/>
            <w:tcBorders>
              <w:top w:val="nil"/>
              <w:left w:val="nil"/>
              <w:bottom w:val="nil"/>
              <w:right w:val="nil"/>
            </w:tcBorders>
            <w:shd w:val="clear" w:color="auto" w:fill="auto"/>
            <w:vAlign w:val="center"/>
          </w:tcPr>
          <w:p w14:paraId="6AFA5714"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0.740</w:t>
            </w:r>
          </w:p>
        </w:tc>
      </w:tr>
      <w:tr w:rsidR="00FB785E" w:rsidRPr="004825BB" w14:paraId="52413CC1" w14:textId="77777777" w:rsidTr="007202E4">
        <w:tc>
          <w:tcPr>
            <w:tcW w:w="2977" w:type="dxa"/>
            <w:tcBorders>
              <w:top w:val="nil"/>
              <w:left w:val="nil"/>
              <w:bottom w:val="nil"/>
              <w:right w:val="nil"/>
            </w:tcBorders>
            <w:shd w:val="clear" w:color="auto" w:fill="auto"/>
            <w:vAlign w:val="center"/>
          </w:tcPr>
          <w:p w14:paraId="0727BB13"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Mild impairment (&gt;0.3</w:t>
            </w:r>
            <w:r w:rsidR="004C053D" w:rsidRPr="004825BB">
              <w:rPr>
                <w:szCs w:val="16"/>
              </w:rPr>
              <w:t>–</w:t>
            </w:r>
            <w:r w:rsidR="00F07CEB" w:rsidRPr="004825BB">
              <w:rPr>
                <w:szCs w:val="16"/>
              </w:rPr>
              <w:t>≤</w:t>
            </w:r>
            <w:r w:rsidRPr="004825BB">
              <w:rPr>
                <w:szCs w:val="16"/>
              </w:rPr>
              <w:t>0.5)</w:t>
            </w:r>
          </w:p>
        </w:tc>
        <w:tc>
          <w:tcPr>
            <w:tcW w:w="1134" w:type="dxa"/>
            <w:tcBorders>
              <w:top w:val="nil"/>
              <w:left w:val="nil"/>
              <w:bottom w:val="nil"/>
              <w:right w:val="nil"/>
            </w:tcBorders>
            <w:shd w:val="clear" w:color="auto" w:fill="auto"/>
            <w:vAlign w:val="center"/>
          </w:tcPr>
          <w:p w14:paraId="1A407E9A"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72.440</w:t>
            </w:r>
          </w:p>
        </w:tc>
        <w:tc>
          <w:tcPr>
            <w:tcW w:w="1134" w:type="dxa"/>
            <w:tcBorders>
              <w:top w:val="nil"/>
              <w:left w:val="nil"/>
              <w:bottom w:val="nil"/>
              <w:right w:val="nil"/>
            </w:tcBorders>
            <w:shd w:val="clear" w:color="auto" w:fill="auto"/>
            <w:vAlign w:val="center"/>
          </w:tcPr>
          <w:p w14:paraId="3745A45A"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0.660</w:t>
            </w:r>
          </w:p>
        </w:tc>
        <w:tc>
          <w:tcPr>
            <w:tcW w:w="992" w:type="dxa"/>
            <w:tcBorders>
              <w:top w:val="nil"/>
              <w:left w:val="nil"/>
              <w:bottom w:val="nil"/>
              <w:right w:val="nil"/>
            </w:tcBorders>
            <w:shd w:val="clear" w:color="auto" w:fill="auto"/>
            <w:vAlign w:val="center"/>
          </w:tcPr>
          <w:p w14:paraId="05BED256"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65.380</w:t>
            </w:r>
          </w:p>
        </w:tc>
        <w:tc>
          <w:tcPr>
            <w:tcW w:w="1134" w:type="dxa"/>
            <w:tcBorders>
              <w:top w:val="nil"/>
              <w:left w:val="nil"/>
              <w:bottom w:val="nil"/>
              <w:right w:val="nil"/>
            </w:tcBorders>
            <w:shd w:val="clear" w:color="auto" w:fill="auto"/>
            <w:vAlign w:val="center"/>
          </w:tcPr>
          <w:p w14:paraId="0497E538"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0.660</w:t>
            </w:r>
          </w:p>
        </w:tc>
      </w:tr>
      <w:tr w:rsidR="00FB785E" w:rsidRPr="004825BB" w14:paraId="046AEBE4" w14:textId="77777777" w:rsidTr="007202E4">
        <w:tc>
          <w:tcPr>
            <w:tcW w:w="2977" w:type="dxa"/>
            <w:tcBorders>
              <w:top w:val="nil"/>
              <w:left w:val="nil"/>
              <w:bottom w:val="nil"/>
              <w:right w:val="nil"/>
            </w:tcBorders>
            <w:shd w:val="clear" w:color="auto" w:fill="auto"/>
            <w:vAlign w:val="center"/>
          </w:tcPr>
          <w:p w14:paraId="2BC4A6C9"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Moderate impairment (&gt;0.5</w:t>
            </w:r>
            <w:r w:rsidR="004C053D" w:rsidRPr="004825BB">
              <w:rPr>
                <w:szCs w:val="16"/>
              </w:rPr>
              <w:t>–</w:t>
            </w:r>
            <w:r w:rsidR="00F07CEB" w:rsidRPr="004825BB">
              <w:rPr>
                <w:szCs w:val="16"/>
              </w:rPr>
              <w:t>≤</w:t>
            </w:r>
            <w:r w:rsidRPr="004825BB">
              <w:rPr>
                <w:szCs w:val="16"/>
              </w:rPr>
              <w:t>1)</w:t>
            </w:r>
          </w:p>
        </w:tc>
        <w:tc>
          <w:tcPr>
            <w:tcW w:w="1134" w:type="dxa"/>
            <w:tcBorders>
              <w:top w:val="nil"/>
              <w:left w:val="nil"/>
              <w:bottom w:val="nil"/>
              <w:right w:val="nil"/>
            </w:tcBorders>
            <w:shd w:val="clear" w:color="auto" w:fill="auto"/>
            <w:vAlign w:val="center"/>
          </w:tcPr>
          <w:p w14:paraId="323F2B5C"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67.000</w:t>
            </w:r>
          </w:p>
        </w:tc>
        <w:tc>
          <w:tcPr>
            <w:tcW w:w="1134" w:type="dxa"/>
            <w:tcBorders>
              <w:top w:val="nil"/>
              <w:left w:val="nil"/>
              <w:bottom w:val="nil"/>
              <w:right w:val="nil"/>
            </w:tcBorders>
            <w:shd w:val="clear" w:color="auto" w:fill="auto"/>
            <w:vAlign w:val="center"/>
          </w:tcPr>
          <w:p w14:paraId="3C6F470F"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0.600</w:t>
            </w:r>
          </w:p>
        </w:tc>
        <w:tc>
          <w:tcPr>
            <w:tcW w:w="992" w:type="dxa"/>
            <w:tcBorders>
              <w:top w:val="nil"/>
              <w:left w:val="nil"/>
              <w:bottom w:val="nil"/>
              <w:right w:val="nil"/>
            </w:tcBorders>
            <w:shd w:val="clear" w:color="auto" w:fill="auto"/>
            <w:vAlign w:val="center"/>
          </w:tcPr>
          <w:p w14:paraId="1405CDBD"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65.450</w:t>
            </w:r>
          </w:p>
        </w:tc>
        <w:tc>
          <w:tcPr>
            <w:tcW w:w="1134" w:type="dxa"/>
            <w:tcBorders>
              <w:top w:val="nil"/>
              <w:left w:val="nil"/>
              <w:bottom w:val="nil"/>
              <w:right w:val="nil"/>
            </w:tcBorders>
            <w:shd w:val="clear" w:color="auto" w:fill="auto"/>
            <w:vAlign w:val="center"/>
          </w:tcPr>
          <w:p w14:paraId="3DB2837B"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0.680</w:t>
            </w:r>
          </w:p>
        </w:tc>
      </w:tr>
      <w:tr w:rsidR="00FB785E" w:rsidRPr="004825BB" w14:paraId="2CDD95D2" w14:textId="77777777" w:rsidTr="007202E4">
        <w:tc>
          <w:tcPr>
            <w:tcW w:w="2977" w:type="dxa"/>
            <w:tcBorders>
              <w:top w:val="nil"/>
              <w:left w:val="nil"/>
              <w:bottom w:val="single" w:sz="4" w:space="0" w:color="auto"/>
              <w:right w:val="nil"/>
            </w:tcBorders>
            <w:shd w:val="clear" w:color="auto" w:fill="auto"/>
            <w:vAlign w:val="center"/>
          </w:tcPr>
          <w:p w14:paraId="14E83404"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Severe impairment (</w:t>
            </w:r>
            <w:r w:rsidR="00227CB7" w:rsidRPr="004825BB">
              <w:rPr>
                <w:szCs w:val="16"/>
              </w:rPr>
              <w:t>1–1</w:t>
            </w:r>
            <w:r w:rsidRPr="004825BB">
              <w:rPr>
                <w:szCs w:val="16"/>
              </w:rPr>
              <w:t>.3)</w:t>
            </w:r>
          </w:p>
        </w:tc>
        <w:tc>
          <w:tcPr>
            <w:tcW w:w="1134" w:type="dxa"/>
            <w:tcBorders>
              <w:top w:val="nil"/>
              <w:left w:val="nil"/>
              <w:bottom w:val="single" w:sz="4" w:space="0" w:color="auto"/>
              <w:right w:val="nil"/>
            </w:tcBorders>
            <w:shd w:val="clear" w:color="auto" w:fill="auto"/>
            <w:vAlign w:val="center"/>
          </w:tcPr>
          <w:p w14:paraId="2B203B0C"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87.500</w:t>
            </w:r>
          </w:p>
        </w:tc>
        <w:tc>
          <w:tcPr>
            <w:tcW w:w="1134" w:type="dxa"/>
            <w:tcBorders>
              <w:top w:val="nil"/>
              <w:left w:val="nil"/>
              <w:bottom w:val="single" w:sz="4" w:space="0" w:color="auto"/>
              <w:right w:val="nil"/>
            </w:tcBorders>
            <w:shd w:val="clear" w:color="auto" w:fill="auto"/>
            <w:vAlign w:val="center"/>
          </w:tcPr>
          <w:p w14:paraId="0E85FAAD"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0.720</w:t>
            </w:r>
          </w:p>
        </w:tc>
        <w:tc>
          <w:tcPr>
            <w:tcW w:w="992" w:type="dxa"/>
            <w:tcBorders>
              <w:top w:val="nil"/>
              <w:left w:val="nil"/>
              <w:bottom w:val="single" w:sz="4" w:space="0" w:color="auto"/>
              <w:right w:val="nil"/>
            </w:tcBorders>
            <w:shd w:val="clear" w:color="auto" w:fill="auto"/>
            <w:vAlign w:val="center"/>
          </w:tcPr>
          <w:p w14:paraId="44EE84FB"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52.500</w:t>
            </w:r>
          </w:p>
        </w:tc>
        <w:tc>
          <w:tcPr>
            <w:tcW w:w="1134" w:type="dxa"/>
            <w:tcBorders>
              <w:top w:val="nil"/>
              <w:left w:val="nil"/>
              <w:bottom w:val="single" w:sz="4" w:space="0" w:color="auto"/>
              <w:right w:val="nil"/>
            </w:tcBorders>
            <w:shd w:val="clear" w:color="auto" w:fill="auto"/>
            <w:vAlign w:val="center"/>
          </w:tcPr>
          <w:p w14:paraId="0D706BA0"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0.430</w:t>
            </w:r>
          </w:p>
        </w:tc>
      </w:tr>
      <w:tr w:rsidR="00FB785E" w:rsidRPr="004825BB" w14:paraId="76B2F605" w14:textId="77777777" w:rsidTr="007202E4">
        <w:tc>
          <w:tcPr>
            <w:tcW w:w="2977" w:type="dxa"/>
            <w:tcBorders>
              <w:top w:val="single" w:sz="4" w:space="0" w:color="auto"/>
              <w:left w:val="nil"/>
              <w:bottom w:val="single" w:sz="4" w:space="0" w:color="auto"/>
              <w:right w:val="nil"/>
            </w:tcBorders>
            <w:shd w:val="clear" w:color="auto" w:fill="auto"/>
            <w:vAlign w:val="center"/>
          </w:tcPr>
          <w:p w14:paraId="4BC951B6" w14:textId="77777777" w:rsidR="00FB785E" w:rsidRPr="004825BB" w:rsidRDefault="00043EA3" w:rsidP="007202E4">
            <w:pPr>
              <w:autoSpaceDE w:val="0"/>
              <w:autoSpaceDN w:val="0"/>
              <w:adjustRightInd w:val="0"/>
              <w:snapToGrid w:val="0"/>
              <w:spacing w:line="240" w:lineRule="auto"/>
              <w:jc w:val="center"/>
              <w:rPr>
                <w:szCs w:val="16"/>
              </w:rPr>
            </w:pPr>
            <w:r w:rsidRPr="004825BB">
              <w:rPr>
                <w:i/>
                <w:szCs w:val="16"/>
              </w:rPr>
              <w:t>p</w:t>
            </w:r>
            <w:r w:rsidR="00FB785E" w:rsidRPr="004825BB">
              <w:rPr>
                <w:szCs w:val="16"/>
              </w:rPr>
              <w:t xml:space="preserve"> value</w:t>
            </w:r>
          </w:p>
        </w:tc>
        <w:tc>
          <w:tcPr>
            <w:tcW w:w="1134" w:type="dxa"/>
            <w:tcBorders>
              <w:top w:val="single" w:sz="4" w:space="0" w:color="auto"/>
              <w:left w:val="nil"/>
              <w:bottom w:val="single" w:sz="4" w:space="0" w:color="auto"/>
              <w:right w:val="nil"/>
            </w:tcBorders>
            <w:shd w:val="clear" w:color="auto" w:fill="auto"/>
            <w:vAlign w:val="center"/>
          </w:tcPr>
          <w:p w14:paraId="05508458"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0.700</w:t>
            </w:r>
          </w:p>
        </w:tc>
        <w:tc>
          <w:tcPr>
            <w:tcW w:w="1134" w:type="dxa"/>
            <w:tcBorders>
              <w:left w:val="nil"/>
              <w:bottom w:val="single" w:sz="4" w:space="0" w:color="auto"/>
              <w:right w:val="nil"/>
            </w:tcBorders>
            <w:shd w:val="clear" w:color="auto" w:fill="auto"/>
            <w:vAlign w:val="center"/>
          </w:tcPr>
          <w:p w14:paraId="7CF1D38B" w14:textId="77777777" w:rsidR="00FB785E" w:rsidRPr="004825BB" w:rsidRDefault="00FB785E" w:rsidP="007202E4">
            <w:pPr>
              <w:autoSpaceDE w:val="0"/>
              <w:autoSpaceDN w:val="0"/>
              <w:adjustRightInd w:val="0"/>
              <w:snapToGrid w:val="0"/>
              <w:spacing w:line="240" w:lineRule="auto"/>
              <w:jc w:val="center"/>
              <w:rPr>
                <w:b/>
                <w:szCs w:val="16"/>
              </w:rPr>
            </w:pPr>
            <w:r w:rsidRPr="004825BB">
              <w:rPr>
                <w:b/>
                <w:szCs w:val="16"/>
              </w:rPr>
              <w:t>0.022</w:t>
            </w:r>
          </w:p>
        </w:tc>
        <w:tc>
          <w:tcPr>
            <w:tcW w:w="992" w:type="dxa"/>
            <w:tcBorders>
              <w:left w:val="nil"/>
              <w:bottom w:val="single" w:sz="4" w:space="0" w:color="auto"/>
              <w:right w:val="nil"/>
            </w:tcBorders>
            <w:shd w:val="clear" w:color="auto" w:fill="auto"/>
            <w:vAlign w:val="center"/>
          </w:tcPr>
          <w:p w14:paraId="644D88CF" w14:textId="77777777" w:rsidR="00FB785E" w:rsidRPr="004825BB" w:rsidRDefault="00FB785E" w:rsidP="007202E4">
            <w:pPr>
              <w:autoSpaceDE w:val="0"/>
              <w:autoSpaceDN w:val="0"/>
              <w:adjustRightInd w:val="0"/>
              <w:snapToGrid w:val="0"/>
              <w:spacing w:line="240" w:lineRule="auto"/>
              <w:jc w:val="center"/>
              <w:rPr>
                <w:b/>
                <w:szCs w:val="16"/>
              </w:rPr>
            </w:pPr>
            <w:r w:rsidRPr="004825BB">
              <w:rPr>
                <w:b/>
                <w:szCs w:val="16"/>
              </w:rPr>
              <w:t>0.026</w:t>
            </w:r>
          </w:p>
        </w:tc>
        <w:tc>
          <w:tcPr>
            <w:tcW w:w="1134" w:type="dxa"/>
            <w:tcBorders>
              <w:left w:val="nil"/>
              <w:bottom w:val="single" w:sz="4" w:space="0" w:color="auto"/>
              <w:right w:val="nil"/>
            </w:tcBorders>
            <w:shd w:val="clear" w:color="auto" w:fill="auto"/>
            <w:vAlign w:val="center"/>
          </w:tcPr>
          <w:p w14:paraId="0D865D38"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0.077</w:t>
            </w:r>
          </w:p>
        </w:tc>
      </w:tr>
      <w:tr w:rsidR="00FB785E" w:rsidRPr="004825BB" w14:paraId="55A0DFFC" w14:textId="77777777" w:rsidTr="007202E4">
        <w:tc>
          <w:tcPr>
            <w:tcW w:w="2977" w:type="dxa"/>
            <w:tcBorders>
              <w:top w:val="single" w:sz="4" w:space="0" w:color="auto"/>
              <w:left w:val="nil"/>
              <w:bottom w:val="nil"/>
              <w:right w:val="nil"/>
            </w:tcBorders>
            <w:shd w:val="clear" w:color="auto" w:fill="auto"/>
            <w:vAlign w:val="center"/>
          </w:tcPr>
          <w:p w14:paraId="4A95255D"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Bilateral BCVA</w:t>
            </w:r>
          </w:p>
        </w:tc>
        <w:tc>
          <w:tcPr>
            <w:tcW w:w="1134" w:type="dxa"/>
            <w:tcBorders>
              <w:top w:val="single" w:sz="4" w:space="0" w:color="auto"/>
              <w:left w:val="nil"/>
              <w:bottom w:val="nil"/>
              <w:right w:val="nil"/>
            </w:tcBorders>
            <w:shd w:val="clear" w:color="auto" w:fill="auto"/>
            <w:vAlign w:val="center"/>
          </w:tcPr>
          <w:p w14:paraId="56C72AE3" w14:textId="77777777" w:rsidR="00FB785E" w:rsidRPr="004825BB" w:rsidRDefault="00FB785E" w:rsidP="007202E4">
            <w:pPr>
              <w:autoSpaceDE w:val="0"/>
              <w:autoSpaceDN w:val="0"/>
              <w:adjustRightInd w:val="0"/>
              <w:snapToGrid w:val="0"/>
              <w:spacing w:line="240" w:lineRule="auto"/>
              <w:jc w:val="center"/>
              <w:rPr>
                <w:szCs w:val="16"/>
              </w:rPr>
            </w:pPr>
          </w:p>
        </w:tc>
        <w:tc>
          <w:tcPr>
            <w:tcW w:w="1134" w:type="dxa"/>
            <w:tcBorders>
              <w:top w:val="single" w:sz="4" w:space="0" w:color="auto"/>
              <w:left w:val="nil"/>
              <w:bottom w:val="nil"/>
              <w:right w:val="nil"/>
            </w:tcBorders>
            <w:shd w:val="clear" w:color="auto" w:fill="auto"/>
            <w:vAlign w:val="center"/>
          </w:tcPr>
          <w:p w14:paraId="31C538F5" w14:textId="77777777" w:rsidR="00FB785E" w:rsidRPr="004825BB" w:rsidRDefault="00FB785E" w:rsidP="007202E4">
            <w:pPr>
              <w:autoSpaceDE w:val="0"/>
              <w:autoSpaceDN w:val="0"/>
              <w:adjustRightInd w:val="0"/>
              <w:snapToGrid w:val="0"/>
              <w:spacing w:line="240" w:lineRule="auto"/>
              <w:jc w:val="center"/>
              <w:rPr>
                <w:szCs w:val="16"/>
              </w:rPr>
            </w:pPr>
          </w:p>
        </w:tc>
        <w:tc>
          <w:tcPr>
            <w:tcW w:w="992" w:type="dxa"/>
            <w:tcBorders>
              <w:top w:val="single" w:sz="4" w:space="0" w:color="auto"/>
              <w:left w:val="nil"/>
              <w:bottom w:val="nil"/>
              <w:right w:val="nil"/>
            </w:tcBorders>
            <w:shd w:val="clear" w:color="auto" w:fill="auto"/>
            <w:vAlign w:val="center"/>
          </w:tcPr>
          <w:p w14:paraId="7626D775" w14:textId="77777777" w:rsidR="00FB785E" w:rsidRPr="004825BB" w:rsidRDefault="00FB785E" w:rsidP="007202E4">
            <w:pPr>
              <w:autoSpaceDE w:val="0"/>
              <w:autoSpaceDN w:val="0"/>
              <w:adjustRightInd w:val="0"/>
              <w:snapToGrid w:val="0"/>
              <w:spacing w:line="240" w:lineRule="auto"/>
              <w:jc w:val="center"/>
              <w:rPr>
                <w:szCs w:val="16"/>
              </w:rPr>
            </w:pPr>
          </w:p>
        </w:tc>
        <w:tc>
          <w:tcPr>
            <w:tcW w:w="1134" w:type="dxa"/>
            <w:tcBorders>
              <w:top w:val="single" w:sz="4" w:space="0" w:color="auto"/>
              <w:left w:val="nil"/>
              <w:bottom w:val="nil"/>
              <w:right w:val="nil"/>
            </w:tcBorders>
            <w:shd w:val="clear" w:color="auto" w:fill="auto"/>
            <w:vAlign w:val="center"/>
          </w:tcPr>
          <w:p w14:paraId="4B249625" w14:textId="77777777" w:rsidR="00FB785E" w:rsidRPr="004825BB" w:rsidRDefault="00FB785E" w:rsidP="007202E4">
            <w:pPr>
              <w:autoSpaceDE w:val="0"/>
              <w:autoSpaceDN w:val="0"/>
              <w:adjustRightInd w:val="0"/>
              <w:snapToGrid w:val="0"/>
              <w:spacing w:line="240" w:lineRule="auto"/>
              <w:jc w:val="center"/>
              <w:rPr>
                <w:szCs w:val="16"/>
              </w:rPr>
            </w:pPr>
          </w:p>
        </w:tc>
      </w:tr>
      <w:tr w:rsidR="00FB785E" w:rsidRPr="004825BB" w14:paraId="0E0AB3A2" w14:textId="77777777" w:rsidTr="007202E4">
        <w:tc>
          <w:tcPr>
            <w:tcW w:w="2977" w:type="dxa"/>
            <w:tcBorders>
              <w:top w:val="nil"/>
              <w:left w:val="nil"/>
              <w:bottom w:val="nil"/>
              <w:right w:val="nil"/>
            </w:tcBorders>
            <w:shd w:val="clear" w:color="auto" w:fill="auto"/>
            <w:vAlign w:val="center"/>
          </w:tcPr>
          <w:p w14:paraId="17BD9885"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 xml:space="preserve">Q1: </w:t>
            </w:r>
            <w:r w:rsidR="00227CB7" w:rsidRPr="004825BB">
              <w:rPr>
                <w:szCs w:val="16"/>
              </w:rPr>
              <w:t>0–0</w:t>
            </w:r>
            <w:r w:rsidRPr="004825BB">
              <w:rPr>
                <w:szCs w:val="16"/>
              </w:rPr>
              <w:t>.1</w:t>
            </w:r>
          </w:p>
        </w:tc>
        <w:tc>
          <w:tcPr>
            <w:tcW w:w="1134" w:type="dxa"/>
            <w:tcBorders>
              <w:top w:val="nil"/>
              <w:left w:val="nil"/>
              <w:bottom w:val="nil"/>
              <w:right w:val="nil"/>
            </w:tcBorders>
            <w:shd w:val="clear" w:color="auto" w:fill="auto"/>
            <w:vAlign w:val="center"/>
          </w:tcPr>
          <w:p w14:paraId="5F90F537"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87.250</w:t>
            </w:r>
          </w:p>
        </w:tc>
        <w:tc>
          <w:tcPr>
            <w:tcW w:w="1134" w:type="dxa"/>
            <w:tcBorders>
              <w:top w:val="nil"/>
              <w:left w:val="nil"/>
              <w:bottom w:val="nil"/>
              <w:right w:val="nil"/>
            </w:tcBorders>
            <w:shd w:val="clear" w:color="auto" w:fill="auto"/>
            <w:vAlign w:val="center"/>
          </w:tcPr>
          <w:p w14:paraId="571C2315"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0.880</w:t>
            </w:r>
          </w:p>
        </w:tc>
        <w:tc>
          <w:tcPr>
            <w:tcW w:w="992" w:type="dxa"/>
            <w:tcBorders>
              <w:top w:val="nil"/>
              <w:left w:val="nil"/>
              <w:bottom w:val="nil"/>
              <w:right w:val="nil"/>
            </w:tcBorders>
            <w:shd w:val="clear" w:color="auto" w:fill="auto"/>
            <w:vAlign w:val="center"/>
          </w:tcPr>
          <w:p w14:paraId="6D7AD03E"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76.670</w:t>
            </w:r>
          </w:p>
        </w:tc>
        <w:tc>
          <w:tcPr>
            <w:tcW w:w="1134" w:type="dxa"/>
            <w:tcBorders>
              <w:top w:val="nil"/>
              <w:left w:val="nil"/>
              <w:bottom w:val="nil"/>
              <w:right w:val="nil"/>
            </w:tcBorders>
            <w:shd w:val="clear" w:color="auto" w:fill="auto"/>
            <w:vAlign w:val="center"/>
          </w:tcPr>
          <w:p w14:paraId="1B93BEC8"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0.860</w:t>
            </w:r>
          </w:p>
        </w:tc>
      </w:tr>
      <w:tr w:rsidR="00FB785E" w:rsidRPr="004825BB" w14:paraId="7CE310CD" w14:textId="77777777" w:rsidTr="007202E4">
        <w:tc>
          <w:tcPr>
            <w:tcW w:w="2977" w:type="dxa"/>
            <w:tcBorders>
              <w:top w:val="nil"/>
              <w:left w:val="nil"/>
              <w:bottom w:val="nil"/>
              <w:right w:val="nil"/>
            </w:tcBorders>
            <w:shd w:val="clear" w:color="auto" w:fill="auto"/>
            <w:vAlign w:val="center"/>
          </w:tcPr>
          <w:p w14:paraId="4B9A1170"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Q2: 0.2</w:t>
            </w:r>
          </w:p>
        </w:tc>
        <w:tc>
          <w:tcPr>
            <w:tcW w:w="1134" w:type="dxa"/>
            <w:tcBorders>
              <w:top w:val="nil"/>
              <w:left w:val="nil"/>
              <w:bottom w:val="nil"/>
              <w:right w:val="nil"/>
            </w:tcBorders>
            <w:shd w:val="clear" w:color="auto" w:fill="auto"/>
            <w:vAlign w:val="center"/>
          </w:tcPr>
          <w:p w14:paraId="709BC961"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73.000</w:t>
            </w:r>
          </w:p>
        </w:tc>
        <w:tc>
          <w:tcPr>
            <w:tcW w:w="1134" w:type="dxa"/>
            <w:tcBorders>
              <w:top w:val="nil"/>
              <w:left w:val="nil"/>
              <w:bottom w:val="nil"/>
              <w:right w:val="nil"/>
            </w:tcBorders>
            <w:shd w:val="clear" w:color="auto" w:fill="auto"/>
            <w:vAlign w:val="center"/>
          </w:tcPr>
          <w:p w14:paraId="23898A52"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0.760</w:t>
            </w:r>
          </w:p>
        </w:tc>
        <w:tc>
          <w:tcPr>
            <w:tcW w:w="992" w:type="dxa"/>
            <w:tcBorders>
              <w:top w:val="nil"/>
              <w:left w:val="nil"/>
              <w:bottom w:val="nil"/>
              <w:right w:val="nil"/>
            </w:tcBorders>
            <w:shd w:val="clear" w:color="auto" w:fill="auto"/>
            <w:vAlign w:val="center"/>
          </w:tcPr>
          <w:p w14:paraId="6E8C3DD5"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76.110</w:t>
            </w:r>
          </w:p>
        </w:tc>
        <w:tc>
          <w:tcPr>
            <w:tcW w:w="1134" w:type="dxa"/>
            <w:tcBorders>
              <w:top w:val="nil"/>
              <w:left w:val="nil"/>
              <w:bottom w:val="nil"/>
              <w:right w:val="nil"/>
            </w:tcBorders>
            <w:shd w:val="clear" w:color="auto" w:fill="auto"/>
            <w:vAlign w:val="center"/>
          </w:tcPr>
          <w:p w14:paraId="152D109D"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0.760</w:t>
            </w:r>
          </w:p>
        </w:tc>
      </w:tr>
      <w:tr w:rsidR="00FB785E" w:rsidRPr="004825BB" w14:paraId="20A93AC1" w14:textId="77777777" w:rsidTr="007202E4">
        <w:tc>
          <w:tcPr>
            <w:tcW w:w="2977" w:type="dxa"/>
            <w:tcBorders>
              <w:top w:val="nil"/>
              <w:left w:val="nil"/>
              <w:bottom w:val="nil"/>
              <w:right w:val="nil"/>
            </w:tcBorders>
            <w:shd w:val="clear" w:color="auto" w:fill="auto"/>
            <w:vAlign w:val="center"/>
          </w:tcPr>
          <w:p w14:paraId="2E088A66"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Q3: 0.</w:t>
            </w:r>
            <w:r w:rsidR="00227CB7" w:rsidRPr="004825BB">
              <w:rPr>
                <w:szCs w:val="16"/>
              </w:rPr>
              <w:t>3–0</w:t>
            </w:r>
            <w:r w:rsidRPr="004825BB">
              <w:rPr>
                <w:szCs w:val="16"/>
              </w:rPr>
              <w:t>.4</w:t>
            </w:r>
          </w:p>
        </w:tc>
        <w:tc>
          <w:tcPr>
            <w:tcW w:w="1134" w:type="dxa"/>
            <w:tcBorders>
              <w:top w:val="nil"/>
              <w:left w:val="nil"/>
              <w:bottom w:val="nil"/>
              <w:right w:val="nil"/>
            </w:tcBorders>
            <w:shd w:val="clear" w:color="auto" w:fill="auto"/>
            <w:vAlign w:val="center"/>
          </w:tcPr>
          <w:p w14:paraId="18B243B3"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73.630</w:t>
            </w:r>
          </w:p>
        </w:tc>
        <w:tc>
          <w:tcPr>
            <w:tcW w:w="1134" w:type="dxa"/>
            <w:tcBorders>
              <w:top w:val="nil"/>
              <w:left w:val="nil"/>
              <w:bottom w:val="nil"/>
              <w:right w:val="nil"/>
            </w:tcBorders>
            <w:shd w:val="clear" w:color="auto" w:fill="auto"/>
            <w:vAlign w:val="center"/>
          </w:tcPr>
          <w:p w14:paraId="09DBD8F0"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0.750</w:t>
            </w:r>
          </w:p>
        </w:tc>
        <w:tc>
          <w:tcPr>
            <w:tcW w:w="992" w:type="dxa"/>
            <w:tcBorders>
              <w:top w:val="nil"/>
              <w:left w:val="nil"/>
              <w:bottom w:val="nil"/>
              <w:right w:val="nil"/>
            </w:tcBorders>
            <w:shd w:val="clear" w:color="auto" w:fill="auto"/>
            <w:vAlign w:val="center"/>
          </w:tcPr>
          <w:p w14:paraId="521E176C"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70.320</w:t>
            </w:r>
          </w:p>
        </w:tc>
        <w:tc>
          <w:tcPr>
            <w:tcW w:w="1134" w:type="dxa"/>
            <w:tcBorders>
              <w:top w:val="nil"/>
              <w:left w:val="nil"/>
              <w:bottom w:val="nil"/>
              <w:right w:val="nil"/>
            </w:tcBorders>
            <w:shd w:val="clear" w:color="auto" w:fill="auto"/>
            <w:vAlign w:val="center"/>
          </w:tcPr>
          <w:p w14:paraId="677578D4"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0.690</w:t>
            </w:r>
          </w:p>
        </w:tc>
      </w:tr>
      <w:tr w:rsidR="00FB785E" w:rsidRPr="004825BB" w14:paraId="605BD3F6" w14:textId="77777777" w:rsidTr="007202E4">
        <w:tc>
          <w:tcPr>
            <w:tcW w:w="2977" w:type="dxa"/>
            <w:tcBorders>
              <w:top w:val="nil"/>
              <w:left w:val="nil"/>
              <w:right w:val="nil"/>
            </w:tcBorders>
            <w:shd w:val="clear" w:color="auto" w:fill="auto"/>
            <w:vAlign w:val="center"/>
          </w:tcPr>
          <w:p w14:paraId="173FBA82"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Q4: 0.</w:t>
            </w:r>
            <w:r w:rsidR="00227CB7" w:rsidRPr="004825BB">
              <w:rPr>
                <w:szCs w:val="16"/>
              </w:rPr>
              <w:t>5–1</w:t>
            </w:r>
            <w:r w:rsidRPr="004825BB">
              <w:rPr>
                <w:szCs w:val="16"/>
              </w:rPr>
              <w:t>.3</w:t>
            </w:r>
          </w:p>
        </w:tc>
        <w:tc>
          <w:tcPr>
            <w:tcW w:w="1134" w:type="dxa"/>
            <w:tcBorders>
              <w:top w:val="nil"/>
              <w:left w:val="nil"/>
              <w:right w:val="nil"/>
            </w:tcBorders>
            <w:shd w:val="clear" w:color="auto" w:fill="auto"/>
            <w:vAlign w:val="center"/>
          </w:tcPr>
          <w:p w14:paraId="02E2D024"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72.350</w:t>
            </w:r>
          </w:p>
        </w:tc>
        <w:tc>
          <w:tcPr>
            <w:tcW w:w="1134" w:type="dxa"/>
            <w:tcBorders>
              <w:top w:val="nil"/>
              <w:left w:val="nil"/>
              <w:right w:val="nil"/>
            </w:tcBorders>
            <w:shd w:val="clear" w:color="auto" w:fill="auto"/>
            <w:vAlign w:val="center"/>
          </w:tcPr>
          <w:p w14:paraId="5257B06C"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0.650</w:t>
            </w:r>
          </w:p>
        </w:tc>
        <w:tc>
          <w:tcPr>
            <w:tcW w:w="992" w:type="dxa"/>
            <w:tcBorders>
              <w:top w:val="nil"/>
              <w:left w:val="nil"/>
              <w:right w:val="nil"/>
            </w:tcBorders>
            <w:shd w:val="clear" w:color="auto" w:fill="auto"/>
            <w:vAlign w:val="center"/>
          </w:tcPr>
          <w:p w14:paraId="0917F3AF"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61.250</w:t>
            </w:r>
          </w:p>
        </w:tc>
        <w:tc>
          <w:tcPr>
            <w:tcW w:w="1134" w:type="dxa"/>
            <w:tcBorders>
              <w:top w:val="nil"/>
              <w:left w:val="nil"/>
              <w:right w:val="nil"/>
            </w:tcBorders>
            <w:shd w:val="clear" w:color="auto" w:fill="auto"/>
            <w:vAlign w:val="center"/>
          </w:tcPr>
          <w:p w14:paraId="76EC3FE3"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0.620</w:t>
            </w:r>
          </w:p>
        </w:tc>
      </w:tr>
      <w:tr w:rsidR="00FB785E" w:rsidRPr="004825BB" w14:paraId="6E8D2F52" w14:textId="77777777" w:rsidTr="007202E4">
        <w:tc>
          <w:tcPr>
            <w:tcW w:w="2977" w:type="dxa"/>
            <w:tcBorders>
              <w:left w:val="nil"/>
              <w:bottom w:val="single" w:sz="8" w:space="0" w:color="auto"/>
              <w:right w:val="nil"/>
            </w:tcBorders>
            <w:shd w:val="clear" w:color="auto" w:fill="auto"/>
            <w:vAlign w:val="center"/>
          </w:tcPr>
          <w:p w14:paraId="3DDF5ECE" w14:textId="77777777" w:rsidR="00FB785E" w:rsidRPr="004825BB" w:rsidRDefault="00043EA3" w:rsidP="007202E4">
            <w:pPr>
              <w:autoSpaceDE w:val="0"/>
              <w:autoSpaceDN w:val="0"/>
              <w:adjustRightInd w:val="0"/>
              <w:snapToGrid w:val="0"/>
              <w:spacing w:line="240" w:lineRule="auto"/>
              <w:jc w:val="center"/>
              <w:rPr>
                <w:szCs w:val="16"/>
              </w:rPr>
            </w:pPr>
            <w:r w:rsidRPr="004825BB">
              <w:rPr>
                <w:i/>
                <w:szCs w:val="16"/>
              </w:rPr>
              <w:t>p</w:t>
            </w:r>
            <w:r w:rsidR="00FB785E" w:rsidRPr="004825BB">
              <w:rPr>
                <w:szCs w:val="16"/>
              </w:rPr>
              <w:t xml:space="preserve"> value</w:t>
            </w:r>
          </w:p>
        </w:tc>
        <w:tc>
          <w:tcPr>
            <w:tcW w:w="1134" w:type="dxa"/>
            <w:tcBorders>
              <w:left w:val="nil"/>
              <w:bottom w:val="single" w:sz="8" w:space="0" w:color="auto"/>
              <w:right w:val="nil"/>
            </w:tcBorders>
            <w:shd w:val="clear" w:color="auto" w:fill="auto"/>
            <w:vAlign w:val="center"/>
          </w:tcPr>
          <w:p w14:paraId="3D44E7E4" w14:textId="77777777" w:rsidR="00FB785E" w:rsidRPr="004825BB" w:rsidRDefault="00FB785E" w:rsidP="007202E4">
            <w:pPr>
              <w:autoSpaceDE w:val="0"/>
              <w:autoSpaceDN w:val="0"/>
              <w:adjustRightInd w:val="0"/>
              <w:snapToGrid w:val="0"/>
              <w:spacing w:line="240" w:lineRule="auto"/>
              <w:jc w:val="center"/>
              <w:rPr>
                <w:szCs w:val="16"/>
              </w:rPr>
            </w:pPr>
            <w:r w:rsidRPr="004825BB">
              <w:rPr>
                <w:szCs w:val="16"/>
              </w:rPr>
              <w:t>0.138</w:t>
            </w:r>
          </w:p>
        </w:tc>
        <w:tc>
          <w:tcPr>
            <w:tcW w:w="1134" w:type="dxa"/>
            <w:tcBorders>
              <w:left w:val="nil"/>
              <w:bottom w:val="single" w:sz="8" w:space="0" w:color="auto"/>
              <w:right w:val="nil"/>
            </w:tcBorders>
            <w:shd w:val="clear" w:color="auto" w:fill="auto"/>
            <w:vAlign w:val="center"/>
          </w:tcPr>
          <w:p w14:paraId="1780F49D" w14:textId="77777777" w:rsidR="00FB785E" w:rsidRPr="004825BB" w:rsidRDefault="00FB785E" w:rsidP="007202E4">
            <w:pPr>
              <w:autoSpaceDE w:val="0"/>
              <w:autoSpaceDN w:val="0"/>
              <w:adjustRightInd w:val="0"/>
              <w:snapToGrid w:val="0"/>
              <w:spacing w:line="240" w:lineRule="auto"/>
              <w:jc w:val="center"/>
              <w:rPr>
                <w:b/>
                <w:szCs w:val="16"/>
              </w:rPr>
            </w:pPr>
            <w:r w:rsidRPr="004825BB">
              <w:rPr>
                <w:b/>
                <w:szCs w:val="16"/>
              </w:rPr>
              <w:t>0.002</w:t>
            </w:r>
          </w:p>
        </w:tc>
        <w:tc>
          <w:tcPr>
            <w:tcW w:w="992" w:type="dxa"/>
            <w:tcBorders>
              <w:left w:val="nil"/>
              <w:bottom w:val="single" w:sz="8" w:space="0" w:color="auto"/>
              <w:right w:val="nil"/>
            </w:tcBorders>
            <w:shd w:val="clear" w:color="auto" w:fill="auto"/>
            <w:vAlign w:val="center"/>
          </w:tcPr>
          <w:p w14:paraId="4934FC42" w14:textId="77777777" w:rsidR="00FB785E" w:rsidRPr="004825BB" w:rsidRDefault="00FB785E" w:rsidP="007202E4">
            <w:pPr>
              <w:autoSpaceDE w:val="0"/>
              <w:autoSpaceDN w:val="0"/>
              <w:adjustRightInd w:val="0"/>
              <w:snapToGrid w:val="0"/>
              <w:spacing w:line="240" w:lineRule="auto"/>
              <w:jc w:val="center"/>
              <w:rPr>
                <w:b/>
                <w:szCs w:val="16"/>
              </w:rPr>
            </w:pPr>
            <w:r w:rsidRPr="004825BB">
              <w:rPr>
                <w:b/>
                <w:szCs w:val="16"/>
              </w:rPr>
              <w:t>0.003</w:t>
            </w:r>
          </w:p>
        </w:tc>
        <w:tc>
          <w:tcPr>
            <w:tcW w:w="1134" w:type="dxa"/>
            <w:tcBorders>
              <w:left w:val="nil"/>
              <w:bottom w:val="single" w:sz="8" w:space="0" w:color="auto"/>
              <w:right w:val="nil"/>
            </w:tcBorders>
            <w:shd w:val="clear" w:color="auto" w:fill="auto"/>
            <w:vAlign w:val="center"/>
          </w:tcPr>
          <w:p w14:paraId="10BE45EC" w14:textId="77777777" w:rsidR="00FB785E" w:rsidRPr="004825BB" w:rsidRDefault="00FB785E" w:rsidP="007202E4">
            <w:pPr>
              <w:autoSpaceDE w:val="0"/>
              <w:autoSpaceDN w:val="0"/>
              <w:adjustRightInd w:val="0"/>
              <w:snapToGrid w:val="0"/>
              <w:spacing w:line="240" w:lineRule="auto"/>
              <w:jc w:val="center"/>
              <w:rPr>
                <w:b/>
                <w:szCs w:val="16"/>
              </w:rPr>
            </w:pPr>
            <w:r w:rsidRPr="004825BB">
              <w:rPr>
                <w:b/>
                <w:szCs w:val="16"/>
              </w:rPr>
              <w:t>0.004</w:t>
            </w:r>
          </w:p>
        </w:tc>
      </w:tr>
    </w:tbl>
    <w:p w14:paraId="395D4CA8" w14:textId="77777777" w:rsidR="00FB785E" w:rsidRPr="004825BB" w:rsidRDefault="00FB785E" w:rsidP="007202E4">
      <w:pPr>
        <w:pStyle w:val="MDPI43tablefooter"/>
        <w:spacing w:after="240"/>
      </w:pPr>
      <w:proofErr w:type="spellStart"/>
      <w:r w:rsidRPr="004825BB">
        <w:t>HRQoL</w:t>
      </w:r>
      <w:proofErr w:type="spellEnd"/>
      <w:r w:rsidRPr="004825BB">
        <w:t xml:space="preserve">: </w:t>
      </w:r>
      <w:r w:rsidR="00A64D8C">
        <w:t>h</w:t>
      </w:r>
      <w:r w:rsidRPr="004825BB">
        <w:t xml:space="preserve">ealth-related quality of life; EQ-5D: EQ-5D-3L questionnaire. Health index: result of EQ-5D-3L. VAS: visual analogue scale. Range of possible scores: </w:t>
      </w:r>
      <w:r w:rsidR="00227CB7" w:rsidRPr="004825BB">
        <w:t>0–100</w:t>
      </w:r>
      <w:r w:rsidRPr="004825BB">
        <w:t xml:space="preserve">. Visual impairment using World Health Organization definitions [17]. Q1: first quartile; Q2: second quartile; Q3: third quartile; Q4: fourth quartile. BCVA: </w:t>
      </w:r>
      <w:r w:rsidR="00464BD3">
        <w:t>b</w:t>
      </w:r>
      <w:r w:rsidRPr="004825BB">
        <w:t>est-corrected visual acuity. Bold denotes significant values.</w:t>
      </w:r>
    </w:p>
    <w:p w14:paraId="4B52AA36" w14:textId="77777777" w:rsidR="00FB785E" w:rsidRPr="004825BB" w:rsidRDefault="00FB785E" w:rsidP="002A77FE">
      <w:pPr>
        <w:pStyle w:val="MDPI31text"/>
      </w:pPr>
      <w:r w:rsidRPr="004825BB">
        <w:t>The mean score of the MOSS SSS</w:t>
      </w:r>
      <w:r w:rsidR="00464BD3">
        <w:t xml:space="preserve"> </w:t>
      </w:r>
      <w:r w:rsidRPr="004825BB">
        <w:t>tangible social support subscale was 17.</w:t>
      </w:r>
      <w:r w:rsidR="004B3E58" w:rsidRPr="004825BB">
        <w:t>9 ± 3</w:t>
      </w:r>
      <w:r w:rsidRPr="004825BB">
        <w:t>.5 in the initial survey and 18.</w:t>
      </w:r>
      <w:r w:rsidR="004B3E58" w:rsidRPr="004825BB">
        <w:t>6 ± 3</w:t>
      </w:r>
      <w:r w:rsidRPr="004825BB">
        <w:t>.3 in the final survey (</w:t>
      </w:r>
      <w:r w:rsidR="004B3E58" w:rsidRPr="004825BB">
        <w:rPr>
          <w:i/>
        </w:rPr>
        <w:t xml:space="preserve">p </w:t>
      </w:r>
      <w:r w:rsidR="004B3E58" w:rsidRPr="004825BB">
        <w:t>=</w:t>
      </w:r>
      <w:r w:rsidR="004B3E58" w:rsidRPr="004825BB">
        <w:rPr>
          <w:i/>
        </w:rPr>
        <w:t xml:space="preserve"> </w:t>
      </w:r>
      <w:r w:rsidR="004B3E58" w:rsidRPr="004825BB">
        <w:t>0</w:t>
      </w:r>
      <w:r w:rsidRPr="004825BB">
        <w:t>.062). An improvement was found in the questions corresponding to social tangible support in the cases of “needing help if confined to bed” or “preparing meals” when comparing the initial and final surveys. Detailed results of the tangible support subscale in the two waves of the study are shown in Table 4. Significant differences were observed between the tangible support score in the initial survey and the following variables: sex, living conditions, situation in relation to treatment, and change in bilateral BCVA from the beginning of the treatment to the initial survey (Table 5). In the final survey, those differences did not reach statistical significance. The score change for tangible support between the initial and final surveys was not associated with any variable except in the case of patients needing treatment in both eyes (</w:t>
      </w:r>
      <w:r w:rsidR="004B3E58" w:rsidRPr="004825BB">
        <w:rPr>
          <w:i/>
        </w:rPr>
        <w:t xml:space="preserve">p </w:t>
      </w:r>
      <w:r w:rsidR="004B3E58" w:rsidRPr="004825BB">
        <w:t>=</w:t>
      </w:r>
      <w:r w:rsidR="004B3E58" w:rsidRPr="004825BB">
        <w:rPr>
          <w:i/>
        </w:rPr>
        <w:t xml:space="preserve"> </w:t>
      </w:r>
      <w:r w:rsidR="004B3E58" w:rsidRPr="004825BB">
        <w:t>0</w:t>
      </w:r>
      <w:r w:rsidRPr="004825BB">
        <w:t>.007) and patients with lower levels of bilateral BCVA (</w:t>
      </w:r>
      <w:r w:rsidR="004B3E58" w:rsidRPr="004825BB">
        <w:rPr>
          <w:i/>
        </w:rPr>
        <w:t xml:space="preserve">p </w:t>
      </w:r>
      <w:r w:rsidR="004B3E58" w:rsidRPr="004825BB">
        <w:t>=</w:t>
      </w:r>
      <w:r w:rsidR="004B3E58" w:rsidRPr="004825BB">
        <w:rPr>
          <w:i/>
        </w:rPr>
        <w:t xml:space="preserve"> </w:t>
      </w:r>
      <w:r w:rsidR="004B3E58" w:rsidRPr="004825BB">
        <w:t>0</w:t>
      </w:r>
      <w:r w:rsidRPr="004825BB">
        <w:t>.018), which increased the support at the final survey.</w:t>
      </w:r>
    </w:p>
    <w:p w14:paraId="3D58CA03" w14:textId="77777777" w:rsidR="00FB785E" w:rsidRPr="00EF4BE8" w:rsidRDefault="002A77FE" w:rsidP="002A77FE">
      <w:pPr>
        <w:pStyle w:val="MDPI41tablecaption"/>
        <w:jc w:val="both"/>
      </w:pPr>
      <w:r w:rsidRPr="00EF4BE8">
        <w:rPr>
          <w:b/>
          <w:bCs/>
        </w:rPr>
        <w:t xml:space="preserve">Table 4. </w:t>
      </w:r>
      <w:r w:rsidR="00FB785E" w:rsidRPr="00EF4BE8">
        <w:t>Results of the MOS SSS</w:t>
      </w:r>
      <w:r w:rsidR="00830273" w:rsidRPr="00EF4BE8">
        <w:t xml:space="preserve"> t</w:t>
      </w:r>
      <w:r w:rsidR="00FB785E" w:rsidRPr="00EF4BE8">
        <w:t xml:space="preserve">angible support subscale: </w:t>
      </w:r>
      <w:r w:rsidR="00F120CE" w:rsidRPr="00EF4BE8">
        <w:t>c</w:t>
      </w:r>
      <w:r w:rsidR="00FB785E" w:rsidRPr="00EF4BE8">
        <w:t xml:space="preserve">omparison between the initial </w:t>
      </w:r>
      <w:r w:rsidR="00EF4BE8">
        <w:br/>
      </w:r>
      <w:r w:rsidR="00FB785E" w:rsidRPr="00EF4BE8">
        <w:t>and final survey</w:t>
      </w:r>
      <w:r w:rsidR="00F120CE" w:rsidRPr="00EF4BE8">
        <w:t>s</w:t>
      </w:r>
      <w:r w:rsidR="00FB785E" w:rsidRPr="00EF4BE8">
        <w:t>.</w:t>
      </w:r>
    </w:p>
    <w:tbl>
      <w:tblPr>
        <w:tblStyle w:val="Tablaconcuadrcula"/>
        <w:tblW w:w="7857" w:type="dxa"/>
        <w:tblInd w:w="2608" w:type="dxa"/>
        <w:tblLayout w:type="fixed"/>
        <w:tblCellMar>
          <w:left w:w="0" w:type="dxa"/>
          <w:right w:w="0" w:type="dxa"/>
        </w:tblCellMar>
        <w:tblLook w:val="04A0" w:firstRow="1" w:lastRow="0" w:firstColumn="1" w:lastColumn="0" w:noHBand="0" w:noVBand="1"/>
      </w:tblPr>
      <w:tblGrid>
        <w:gridCol w:w="3713"/>
        <w:gridCol w:w="2143"/>
        <w:gridCol w:w="2001"/>
      </w:tblGrid>
      <w:tr w:rsidR="00FB785E" w:rsidRPr="004825BB" w14:paraId="1B4571EC" w14:textId="77777777" w:rsidTr="00C16CE3">
        <w:tc>
          <w:tcPr>
            <w:tcW w:w="3713" w:type="dxa"/>
            <w:tcBorders>
              <w:top w:val="single" w:sz="8" w:space="0" w:color="auto"/>
              <w:left w:val="nil"/>
              <w:right w:val="nil"/>
            </w:tcBorders>
            <w:shd w:val="clear" w:color="auto" w:fill="auto"/>
            <w:vAlign w:val="center"/>
          </w:tcPr>
          <w:p w14:paraId="124A9A40" w14:textId="77777777" w:rsidR="00FB785E" w:rsidRPr="004825BB" w:rsidRDefault="00FB785E" w:rsidP="00C16CE3">
            <w:pPr>
              <w:autoSpaceDE w:val="0"/>
              <w:autoSpaceDN w:val="0"/>
              <w:adjustRightInd w:val="0"/>
              <w:snapToGrid w:val="0"/>
              <w:spacing w:line="240" w:lineRule="auto"/>
              <w:jc w:val="center"/>
              <w:rPr>
                <w:b/>
                <w:bCs/>
                <w:szCs w:val="16"/>
              </w:rPr>
            </w:pPr>
          </w:p>
        </w:tc>
        <w:tc>
          <w:tcPr>
            <w:tcW w:w="4144" w:type="dxa"/>
            <w:gridSpan w:val="2"/>
            <w:tcBorders>
              <w:top w:val="single" w:sz="8" w:space="0" w:color="auto"/>
              <w:left w:val="nil"/>
              <w:right w:val="nil"/>
            </w:tcBorders>
            <w:shd w:val="clear" w:color="auto" w:fill="auto"/>
            <w:vAlign w:val="center"/>
          </w:tcPr>
          <w:p w14:paraId="530C55D3" w14:textId="77777777" w:rsidR="00FB785E" w:rsidRPr="004825BB" w:rsidRDefault="006D227E" w:rsidP="00C16CE3">
            <w:pPr>
              <w:autoSpaceDE w:val="0"/>
              <w:autoSpaceDN w:val="0"/>
              <w:adjustRightInd w:val="0"/>
              <w:snapToGrid w:val="0"/>
              <w:spacing w:line="240" w:lineRule="auto"/>
              <w:jc w:val="center"/>
              <w:rPr>
                <w:b/>
                <w:bCs/>
                <w:szCs w:val="16"/>
              </w:rPr>
            </w:pPr>
            <w:r w:rsidRPr="004825BB">
              <w:rPr>
                <w:b/>
                <w:bCs/>
                <w:i/>
                <w:szCs w:val="16"/>
              </w:rPr>
              <w:t>n</w:t>
            </w:r>
            <w:r w:rsidR="00FB785E" w:rsidRPr="004825BB">
              <w:rPr>
                <w:b/>
                <w:bCs/>
                <w:szCs w:val="16"/>
              </w:rPr>
              <w:t xml:space="preserve"> [%] (95% CI)</w:t>
            </w:r>
          </w:p>
        </w:tc>
      </w:tr>
      <w:tr w:rsidR="00FB785E" w:rsidRPr="004825BB" w14:paraId="7A8652DB" w14:textId="77777777" w:rsidTr="00C16CE3">
        <w:tc>
          <w:tcPr>
            <w:tcW w:w="3713" w:type="dxa"/>
            <w:tcBorders>
              <w:left w:val="nil"/>
              <w:right w:val="nil"/>
            </w:tcBorders>
            <w:shd w:val="clear" w:color="auto" w:fill="auto"/>
            <w:vAlign w:val="center"/>
          </w:tcPr>
          <w:p w14:paraId="52301E49" w14:textId="77777777" w:rsidR="00FB785E" w:rsidRPr="004825BB" w:rsidRDefault="00FB785E" w:rsidP="00C16CE3">
            <w:pPr>
              <w:autoSpaceDE w:val="0"/>
              <w:autoSpaceDN w:val="0"/>
              <w:adjustRightInd w:val="0"/>
              <w:snapToGrid w:val="0"/>
              <w:spacing w:line="240" w:lineRule="auto"/>
              <w:jc w:val="center"/>
              <w:rPr>
                <w:b/>
                <w:bCs/>
                <w:szCs w:val="16"/>
              </w:rPr>
            </w:pPr>
          </w:p>
        </w:tc>
        <w:tc>
          <w:tcPr>
            <w:tcW w:w="2143" w:type="dxa"/>
            <w:tcBorders>
              <w:left w:val="nil"/>
              <w:right w:val="nil"/>
            </w:tcBorders>
            <w:shd w:val="clear" w:color="auto" w:fill="auto"/>
            <w:vAlign w:val="center"/>
          </w:tcPr>
          <w:p w14:paraId="1B06AF2A" w14:textId="77777777" w:rsidR="00FB785E" w:rsidRPr="004825BB" w:rsidRDefault="00FB785E" w:rsidP="00C16CE3">
            <w:pPr>
              <w:autoSpaceDE w:val="0"/>
              <w:autoSpaceDN w:val="0"/>
              <w:adjustRightInd w:val="0"/>
              <w:snapToGrid w:val="0"/>
              <w:spacing w:line="240" w:lineRule="auto"/>
              <w:jc w:val="center"/>
              <w:rPr>
                <w:b/>
                <w:bCs/>
                <w:szCs w:val="16"/>
              </w:rPr>
            </w:pPr>
            <w:r w:rsidRPr="004825BB">
              <w:rPr>
                <w:b/>
                <w:bCs/>
                <w:szCs w:val="16"/>
              </w:rPr>
              <w:t xml:space="preserve">Initial </w:t>
            </w:r>
            <w:r w:rsidR="00175942" w:rsidRPr="004825BB">
              <w:rPr>
                <w:b/>
                <w:bCs/>
                <w:szCs w:val="16"/>
              </w:rPr>
              <w:t>Survey</w:t>
            </w:r>
          </w:p>
        </w:tc>
        <w:tc>
          <w:tcPr>
            <w:tcW w:w="2001" w:type="dxa"/>
            <w:tcBorders>
              <w:left w:val="nil"/>
              <w:right w:val="nil"/>
            </w:tcBorders>
            <w:shd w:val="clear" w:color="auto" w:fill="auto"/>
            <w:vAlign w:val="center"/>
          </w:tcPr>
          <w:p w14:paraId="6A7A8D29" w14:textId="77777777" w:rsidR="00FB785E" w:rsidRPr="004825BB" w:rsidRDefault="00FB785E" w:rsidP="00C16CE3">
            <w:pPr>
              <w:autoSpaceDE w:val="0"/>
              <w:autoSpaceDN w:val="0"/>
              <w:adjustRightInd w:val="0"/>
              <w:snapToGrid w:val="0"/>
              <w:spacing w:line="240" w:lineRule="auto"/>
              <w:jc w:val="center"/>
              <w:rPr>
                <w:b/>
                <w:bCs/>
                <w:szCs w:val="16"/>
              </w:rPr>
            </w:pPr>
            <w:r w:rsidRPr="004825BB">
              <w:rPr>
                <w:b/>
                <w:bCs/>
                <w:szCs w:val="16"/>
              </w:rPr>
              <w:t xml:space="preserve">Final </w:t>
            </w:r>
            <w:r w:rsidR="00175942" w:rsidRPr="004825BB">
              <w:rPr>
                <w:b/>
                <w:bCs/>
                <w:szCs w:val="16"/>
              </w:rPr>
              <w:t>Survey</w:t>
            </w:r>
          </w:p>
        </w:tc>
      </w:tr>
      <w:tr w:rsidR="00C16CE3" w:rsidRPr="004825BB" w14:paraId="7D44FEC1" w14:textId="77777777" w:rsidTr="00C16CE3">
        <w:trPr>
          <w:trHeight w:val="145"/>
        </w:trPr>
        <w:tc>
          <w:tcPr>
            <w:tcW w:w="3713" w:type="dxa"/>
            <w:tcBorders>
              <w:left w:val="nil"/>
              <w:bottom w:val="nil"/>
              <w:right w:val="nil"/>
            </w:tcBorders>
            <w:shd w:val="clear" w:color="auto" w:fill="auto"/>
            <w:vAlign w:val="center"/>
          </w:tcPr>
          <w:p w14:paraId="0E258A28"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Availability of someone to help you if you are confined to bed</w:t>
            </w:r>
          </w:p>
        </w:tc>
        <w:tc>
          <w:tcPr>
            <w:tcW w:w="2143" w:type="dxa"/>
            <w:tcBorders>
              <w:left w:val="nil"/>
              <w:bottom w:val="nil"/>
              <w:right w:val="nil"/>
            </w:tcBorders>
            <w:shd w:val="clear" w:color="auto" w:fill="auto"/>
            <w:vAlign w:val="center"/>
          </w:tcPr>
          <w:p w14:paraId="5131D7E7"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Mean score *: 4.3 ± 1.3</w:t>
            </w:r>
          </w:p>
        </w:tc>
        <w:tc>
          <w:tcPr>
            <w:tcW w:w="2001" w:type="dxa"/>
            <w:tcBorders>
              <w:left w:val="nil"/>
              <w:bottom w:val="nil"/>
              <w:right w:val="nil"/>
            </w:tcBorders>
            <w:shd w:val="clear" w:color="auto" w:fill="auto"/>
            <w:vAlign w:val="center"/>
          </w:tcPr>
          <w:p w14:paraId="00349BAD"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Mean score *: 4.6 ± 0.9</w:t>
            </w:r>
          </w:p>
        </w:tc>
      </w:tr>
      <w:tr w:rsidR="00C16CE3" w:rsidRPr="004825BB" w14:paraId="0802CF7C" w14:textId="77777777" w:rsidTr="00C16CE3">
        <w:trPr>
          <w:trHeight w:val="142"/>
        </w:trPr>
        <w:tc>
          <w:tcPr>
            <w:tcW w:w="3713" w:type="dxa"/>
            <w:tcBorders>
              <w:top w:val="nil"/>
              <w:left w:val="nil"/>
              <w:bottom w:val="nil"/>
              <w:right w:val="nil"/>
            </w:tcBorders>
            <w:shd w:val="clear" w:color="auto" w:fill="auto"/>
            <w:vAlign w:val="center"/>
          </w:tcPr>
          <w:p w14:paraId="5AEE3A2F"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1 None of the time</w:t>
            </w:r>
          </w:p>
        </w:tc>
        <w:tc>
          <w:tcPr>
            <w:tcW w:w="2143" w:type="dxa"/>
            <w:tcBorders>
              <w:top w:val="nil"/>
              <w:left w:val="nil"/>
              <w:bottom w:val="nil"/>
              <w:right w:val="nil"/>
            </w:tcBorders>
            <w:shd w:val="clear" w:color="auto" w:fill="auto"/>
            <w:vAlign w:val="center"/>
          </w:tcPr>
          <w:p w14:paraId="003AFFE9"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5 [6.4%] (2.1–14.3)</w:t>
            </w:r>
          </w:p>
        </w:tc>
        <w:tc>
          <w:tcPr>
            <w:tcW w:w="2001" w:type="dxa"/>
            <w:tcBorders>
              <w:top w:val="nil"/>
              <w:left w:val="nil"/>
              <w:bottom w:val="nil"/>
              <w:right w:val="nil"/>
            </w:tcBorders>
            <w:shd w:val="clear" w:color="auto" w:fill="auto"/>
            <w:vAlign w:val="center"/>
          </w:tcPr>
          <w:p w14:paraId="72783128"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1 [1.3%] (0.0–6.9)</w:t>
            </w:r>
          </w:p>
        </w:tc>
      </w:tr>
      <w:tr w:rsidR="00C16CE3" w:rsidRPr="004825BB" w14:paraId="0807CEC5" w14:textId="77777777" w:rsidTr="00C16CE3">
        <w:trPr>
          <w:trHeight w:val="142"/>
        </w:trPr>
        <w:tc>
          <w:tcPr>
            <w:tcW w:w="3713" w:type="dxa"/>
            <w:tcBorders>
              <w:top w:val="nil"/>
              <w:left w:val="nil"/>
              <w:bottom w:val="nil"/>
              <w:right w:val="nil"/>
            </w:tcBorders>
            <w:shd w:val="clear" w:color="auto" w:fill="auto"/>
            <w:vAlign w:val="center"/>
          </w:tcPr>
          <w:p w14:paraId="6EDE84F6"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2 A little of the time</w:t>
            </w:r>
          </w:p>
        </w:tc>
        <w:tc>
          <w:tcPr>
            <w:tcW w:w="2143" w:type="dxa"/>
            <w:tcBorders>
              <w:top w:val="nil"/>
              <w:left w:val="nil"/>
              <w:bottom w:val="nil"/>
              <w:right w:val="nil"/>
            </w:tcBorders>
            <w:shd w:val="clear" w:color="auto" w:fill="auto"/>
            <w:vAlign w:val="center"/>
          </w:tcPr>
          <w:p w14:paraId="699FC50E"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7 [9.0%] (3.7–17.6)</w:t>
            </w:r>
          </w:p>
        </w:tc>
        <w:tc>
          <w:tcPr>
            <w:tcW w:w="2001" w:type="dxa"/>
            <w:tcBorders>
              <w:top w:val="nil"/>
              <w:left w:val="nil"/>
              <w:bottom w:val="nil"/>
              <w:right w:val="nil"/>
            </w:tcBorders>
            <w:shd w:val="clear" w:color="auto" w:fill="auto"/>
            <w:vAlign w:val="center"/>
          </w:tcPr>
          <w:p w14:paraId="3157954F"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5 [6.4%] (2.1–14.3)</w:t>
            </w:r>
          </w:p>
        </w:tc>
      </w:tr>
      <w:tr w:rsidR="00C16CE3" w:rsidRPr="004825BB" w14:paraId="4505C5B6" w14:textId="77777777" w:rsidTr="00C16CE3">
        <w:trPr>
          <w:trHeight w:val="142"/>
        </w:trPr>
        <w:tc>
          <w:tcPr>
            <w:tcW w:w="3713" w:type="dxa"/>
            <w:tcBorders>
              <w:top w:val="nil"/>
              <w:left w:val="nil"/>
              <w:bottom w:val="nil"/>
              <w:right w:val="nil"/>
            </w:tcBorders>
            <w:shd w:val="clear" w:color="auto" w:fill="auto"/>
            <w:vAlign w:val="center"/>
          </w:tcPr>
          <w:p w14:paraId="2E941197"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3 Some of the time</w:t>
            </w:r>
          </w:p>
        </w:tc>
        <w:tc>
          <w:tcPr>
            <w:tcW w:w="2143" w:type="dxa"/>
            <w:tcBorders>
              <w:top w:val="nil"/>
              <w:left w:val="nil"/>
              <w:bottom w:val="nil"/>
              <w:right w:val="nil"/>
            </w:tcBorders>
            <w:shd w:val="clear" w:color="auto" w:fill="auto"/>
            <w:vAlign w:val="center"/>
          </w:tcPr>
          <w:p w14:paraId="0173A646"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5 [6.4%] (2.1–14.3)</w:t>
            </w:r>
          </w:p>
        </w:tc>
        <w:tc>
          <w:tcPr>
            <w:tcW w:w="2001" w:type="dxa"/>
            <w:tcBorders>
              <w:top w:val="nil"/>
              <w:left w:val="nil"/>
              <w:bottom w:val="nil"/>
              <w:right w:val="nil"/>
            </w:tcBorders>
            <w:shd w:val="clear" w:color="auto" w:fill="auto"/>
            <w:vAlign w:val="center"/>
          </w:tcPr>
          <w:p w14:paraId="4CBE8BCB"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2 [2.6%] (0.3–9.9)</w:t>
            </w:r>
          </w:p>
        </w:tc>
      </w:tr>
      <w:tr w:rsidR="00C16CE3" w:rsidRPr="004825BB" w14:paraId="15EAB4B8" w14:textId="77777777" w:rsidTr="00C16CE3">
        <w:trPr>
          <w:trHeight w:val="142"/>
        </w:trPr>
        <w:tc>
          <w:tcPr>
            <w:tcW w:w="3713" w:type="dxa"/>
            <w:tcBorders>
              <w:top w:val="nil"/>
              <w:left w:val="nil"/>
              <w:bottom w:val="nil"/>
              <w:right w:val="nil"/>
            </w:tcBorders>
            <w:shd w:val="clear" w:color="auto" w:fill="auto"/>
            <w:vAlign w:val="center"/>
          </w:tcPr>
          <w:p w14:paraId="097EA9B1"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lastRenderedPageBreak/>
              <w:t>4 Most of the time</w:t>
            </w:r>
          </w:p>
        </w:tc>
        <w:tc>
          <w:tcPr>
            <w:tcW w:w="2143" w:type="dxa"/>
            <w:tcBorders>
              <w:top w:val="nil"/>
              <w:left w:val="nil"/>
              <w:bottom w:val="nil"/>
              <w:right w:val="nil"/>
            </w:tcBorders>
            <w:shd w:val="clear" w:color="auto" w:fill="auto"/>
            <w:vAlign w:val="center"/>
          </w:tcPr>
          <w:p w14:paraId="5B40A538"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6 [7.7%] (2.9–16.0)</w:t>
            </w:r>
          </w:p>
        </w:tc>
        <w:tc>
          <w:tcPr>
            <w:tcW w:w="2001" w:type="dxa"/>
            <w:tcBorders>
              <w:top w:val="nil"/>
              <w:left w:val="nil"/>
              <w:bottom w:val="nil"/>
              <w:right w:val="nil"/>
            </w:tcBorders>
            <w:shd w:val="clear" w:color="auto" w:fill="auto"/>
            <w:vAlign w:val="center"/>
          </w:tcPr>
          <w:p w14:paraId="5A0F3ED7"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7 [9.0%] (3.7–17.6)</w:t>
            </w:r>
          </w:p>
        </w:tc>
      </w:tr>
      <w:tr w:rsidR="00C16CE3" w:rsidRPr="004825BB" w14:paraId="007FC6F7" w14:textId="77777777" w:rsidTr="00C16CE3">
        <w:trPr>
          <w:trHeight w:val="142"/>
        </w:trPr>
        <w:tc>
          <w:tcPr>
            <w:tcW w:w="3713" w:type="dxa"/>
            <w:tcBorders>
              <w:top w:val="nil"/>
              <w:left w:val="nil"/>
              <w:bottom w:val="single" w:sz="4" w:space="0" w:color="auto"/>
              <w:right w:val="nil"/>
            </w:tcBorders>
            <w:shd w:val="clear" w:color="auto" w:fill="auto"/>
            <w:vAlign w:val="center"/>
          </w:tcPr>
          <w:p w14:paraId="6823BEEC"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5 All the time</w:t>
            </w:r>
          </w:p>
        </w:tc>
        <w:tc>
          <w:tcPr>
            <w:tcW w:w="2143" w:type="dxa"/>
            <w:tcBorders>
              <w:top w:val="nil"/>
              <w:left w:val="nil"/>
              <w:bottom w:val="single" w:sz="4" w:space="0" w:color="auto"/>
              <w:right w:val="nil"/>
            </w:tcBorders>
            <w:shd w:val="clear" w:color="auto" w:fill="auto"/>
            <w:vAlign w:val="center"/>
          </w:tcPr>
          <w:p w14:paraId="3E6059E6"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55 [70.5%] (59.1–80.3)</w:t>
            </w:r>
          </w:p>
        </w:tc>
        <w:tc>
          <w:tcPr>
            <w:tcW w:w="2001" w:type="dxa"/>
            <w:tcBorders>
              <w:top w:val="nil"/>
              <w:left w:val="nil"/>
              <w:bottom w:val="single" w:sz="4" w:space="0" w:color="auto"/>
              <w:right w:val="nil"/>
            </w:tcBorders>
            <w:shd w:val="clear" w:color="auto" w:fill="auto"/>
            <w:vAlign w:val="center"/>
          </w:tcPr>
          <w:p w14:paraId="11659131"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63 [80.8%] (70.3–88.8)</w:t>
            </w:r>
          </w:p>
        </w:tc>
      </w:tr>
      <w:tr w:rsidR="00FB785E" w:rsidRPr="004825BB" w14:paraId="5D95C031" w14:textId="77777777" w:rsidTr="00C16CE3">
        <w:tc>
          <w:tcPr>
            <w:tcW w:w="3713" w:type="dxa"/>
            <w:tcBorders>
              <w:left w:val="nil"/>
              <w:bottom w:val="single" w:sz="4" w:space="0" w:color="auto"/>
              <w:right w:val="nil"/>
            </w:tcBorders>
            <w:shd w:val="clear" w:color="auto" w:fill="auto"/>
            <w:vAlign w:val="center"/>
          </w:tcPr>
          <w:p w14:paraId="4100B41E" w14:textId="77777777" w:rsidR="00FB785E" w:rsidRPr="004825BB" w:rsidRDefault="00043EA3" w:rsidP="00C16CE3">
            <w:pPr>
              <w:autoSpaceDE w:val="0"/>
              <w:autoSpaceDN w:val="0"/>
              <w:adjustRightInd w:val="0"/>
              <w:snapToGrid w:val="0"/>
              <w:spacing w:line="240" w:lineRule="auto"/>
              <w:jc w:val="center"/>
              <w:rPr>
                <w:szCs w:val="16"/>
              </w:rPr>
            </w:pPr>
            <w:r w:rsidRPr="004825BB">
              <w:rPr>
                <w:i/>
                <w:szCs w:val="16"/>
              </w:rPr>
              <w:t>p</w:t>
            </w:r>
            <w:r w:rsidR="00FB785E" w:rsidRPr="004825BB">
              <w:rPr>
                <w:szCs w:val="16"/>
              </w:rPr>
              <w:t xml:space="preserve"> value</w:t>
            </w:r>
          </w:p>
        </w:tc>
        <w:tc>
          <w:tcPr>
            <w:tcW w:w="4144" w:type="dxa"/>
            <w:gridSpan w:val="2"/>
            <w:tcBorders>
              <w:left w:val="nil"/>
              <w:bottom w:val="single" w:sz="4" w:space="0" w:color="auto"/>
              <w:right w:val="nil"/>
            </w:tcBorders>
            <w:shd w:val="clear" w:color="auto" w:fill="auto"/>
            <w:vAlign w:val="center"/>
          </w:tcPr>
          <w:p w14:paraId="530ABA31" w14:textId="77777777" w:rsidR="00FB785E" w:rsidRPr="004825BB" w:rsidRDefault="00FB785E" w:rsidP="00C16CE3">
            <w:pPr>
              <w:autoSpaceDE w:val="0"/>
              <w:autoSpaceDN w:val="0"/>
              <w:adjustRightInd w:val="0"/>
              <w:snapToGrid w:val="0"/>
              <w:spacing w:line="240" w:lineRule="auto"/>
              <w:jc w:val="center"/>
              <w:rPr>
                <w:b/>
                <w:szCs w:val="16"/>
              </w:rPr>
            </w:pPr>
            <w:r w:rsidRPr="004825BB">
              <w:rPr>
                <w:b/>
                <w:szCs w:val="16"/>
              </w:rPr>
              <w:t>0.009</w:t>
            </w:r>
          </w:p>
        </w:tc>
      </w:tr>
      <w:tr w:rsidR="00C16CE3" w:rsidRPr="004825BB" w14:paraId="3EE9509D" w14:textId="77777777" w:rsidTr="00C16CE3">
        <w:trPr>
          <w:trHeight w:val="145"/>
        </w:trPr>
        <w:tc>
          <w:tcPr>
            <w:tcW w:w="3713" w:type="dxa"/>
            <w:tcBorders>
              <w:top w:val="single" w:sz="4" w:space="0" w:color="auto"/>
              <w:left w:val="nil"/>
              <w:bottom w:val="nil"/>
              <w:right w:val="nil"/>
            </w:tcBorders>
            <w:shd w:val="clear" w:color="auto" w:fill="auto"/>
            <w:vAlign w:val="center"/>
          </w:tcPr>
          <w:p w14:paraId="54FB0233"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Availability of someone to take you to the doctor if you need it</w:t>
            </w:r>
          </w:p>
        </w:tc>
        <w:tc>
          <w:tcPr>
            <w:tcW w:w="2143" w:type="dxa"/>
            <w:tcBorders>
              <w:top w:val="single" w:sz="4" w:space="0" w:color="auto"/>
              <w:left w:val="nil"/>
              <w:bottom w:val="nil"/>
              <w:right w:val="nil"/>
            </w:tcBorders>
            <w:shd w:val="clear" w:color="auto" w:fill="auto"/>
            <w:vAlign w:val="center"/>
          </w:tcPr>
          <w:p w14:paraId="3C9035AB"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Mean score *: 4.7 ± 0.7</w:t>
            </w:r>
          </w:p>
        </w:tc>
        <w:tc>
          <w:tcPr>
            <w:tcW w:w="2001" w:type="dxa"/>
            <w:tcBorders>
              <w:top w:val="single" w:sz="4" w:space="0" w:color="auto"/>
              <w:left w:val="nil"/>
              <w:bottom w:val="nil"/>
              <w:right w:val="nil"/>
            </w:tcBorders>
            <w:shd w:val="clear" w:color="auto" w:fill="auto"/>
            <w:vAlign w:val="center"/>
          </w:tcPr>
          <w:p w14:paraId="0367C47B"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Mean score *: 4.6 ± 0.9</w:t>
            </w:r>
          </w:p>
        </w:tc>
      </w:tr>
      <w:tr w:rsidR="00C16CE3" w:rsidRPr="004825BB" w14:paraId="259FE3DE" w14:textId="77777777" w:rsidTr="00C16CE3">
        <w:trPr>
          <w:trHeight w:val="142"/>
        </w:trPr>
        <w:tc>
          <w:tcPr>
            <w:tcW w:w="3713" w:type="dxa"/>
            <w:tcBorders>
              <w:top w:val="nil"/>
              <w:left w:val="nil"/>
              <w:bottom w:val="nil"/>
              <w:right w:val="nil"/>
            </w:tcBorders>
            <w:shd w:val="clear" w:color="auto" w:fill="auto"/>
            <w:vAlign w:val="center"/>
          </w:tcPr>
          <w:p w14:paraId="17C67E24"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None of the time</w:t>
            </w:r>
          </w:p>
        </w:tc>
        <w:tc>
          <w:tcPr>
            <w:tcW w:w="2143" w:type="dxa"/>
            <w:tcBorders>
              <w:top w:val="nil"/>
              <w:left w:val="nil"/>
              <w:bottom w:val="nil"/>
              <w:right w:val="nil"/>
            </w:tcBorders>
            <w:shd w:val="clear" w:color="auto" w:fill="auto"/>
            <w:vAlign w:val="center"/>
          </w:tcPr>
          <w:p w14:paraId="34E1DC28"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0 [0%] (0–4.6)</w:t>
            </w:r>
          </w:p>
        </w:tc>
        <w:tc>
          <w:tcPr>
            <w:tcW w:w="2001" w:type="dxa"/>
            <w:tcBorders>
              <w:top w:val="nil"/>
              <w:left w:val="nil"/>
              <w:bottom w:val="nil"/>
              <w:right w:val="nil"/>
            </w:tcBorders>
            <w:shd w:val="clear" w:color="auto" w:fill="auto"/>
            <w:vAlign w:val="center"/>
          </w:tcPr>
          <w:p w14:paraId="57C7C365"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2 [2.6%] (0.3–9.0)</w:t>
            </w:r>
          </w:p>
        </w:tc>
      </w:tr>
      <w:tr w:rsidR="00C16CE3" w:rsidRPr="004825BB" w14:paraId="3FE3362C" w14:textId="77777777" w:rsidTr="00C16CE3">
        <w:trPr>
          <w:trHeight w:val="142"/>
        </w:trPr>
        <w:tc>
          <w:tcPr>
            <w:tcW w:w="3713" w:type="dxa"/>
            <w:tcBorders>
              <w:top w:val="nil"/>
              <w:left w:val="nil"/>
              <w:bottom w:val="nil"/>
              <w:right w:val="nil"/>
            </w:tcBorders>
            <w:shd w:val="clear" w:color="auto" w:fill="auto"/>
            <w:vAlign w:val="center"/>
          </w:tcPr>
          <w:p w14:paraId="01F57DE4"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A little of the time</w:t>
            </w:r>
          </w:p>
        </w:tc>
        <w:tc>
          <w:tcPr>
            <w:tcW w:w="2143" w:type="dxa"/>
            <w:tcBorders>
              <w:top w:val="nil"/>
              <w:left w:val="nil"/>
              <w:bottom w:val="nil"/>
              <w:right w:val="nil"/>
            </w:tcBorders>
            <w:shd w:val="clear" w:color="auto" w:fill="auto"/>
            <w:vAlign w:val="center"/>
          </w:tcPr>
          <w:p w14:paraId="41EB36D2"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3 [3.8%] (0.8–10.8)</w:t>
            </w:r>
          </w:p>
        </w:tc>
        <w:tc>
          <w:tcPr>
            <w:tcW w:w="2001" w:type="dxa"/>
            <w:tcBorders>
              <w:top w:val="nil"/>
              <w:left w:val="nil"/>
              <w:bottom w:val="nil"/>
              <w:right w:val="nil"/>
            </w:tcBorders>
            <w:shd w:val="clear" w:color="auto" w:fill="auto"/>
            <w:vAlign w:val="center"/>
          </w:tcPr>
          <w:p w14:paraId="77A2E975"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2 [2.6%] (0.3–9.0)</w:t>
            </w:r>
          </w:p>
        </w:tc>
      </w:tr>
      <w:tr w:rsidR="00C16CE3" w:rsidRPr="004825BB" w14:paraId="264F832A" w14:textId="77777777" w:rsidTr="00C16CE3">
        <w:trPr>
          <w:trHeight w:val="142"/>
        </w:trPr>
        <w:tc>
          <w:tcPr>
            <w:tcW w:w="3713" w:type="dxa"/>
            <w:tcBorders>
              <w:top w:val="nil"/>
              <w:left w:val="nil"/>
              <w:bottom w:val="nil"/>
              <w:right w:val="nil"/>
            </w:tcBorders>
            <w:shd w:val="clear" w:color="auto" w:fill="auto"/>
            <w:vAlign w:val="center"/>
          </w:tcPr>
          <w:p w14:paraId="0AA21BD1"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Some of the time</w:t>
            </w:r>
          </w:p>
        </w:tc>
        <w:tc>
          <w:tcPr>
            <w:tcW w:w="2143" w:type="dxa"/>
            <w:tcBorders>
              <w:top w:val="nil"/>
              <w:left w:val="nil"/>
              <w:bottom w:val="nil"/>
              <w:right w:val="nil"/>
            </w:tcBorders>
            <w:shd w:val="clear" w:color="auto" w:fill="auto"/>
            <w:vAlign w:val="center"/>
          </w:tcPr>
          <w:p w14:paraId="0811CEA3"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3 [3.8%] (0.8–10.8)</w:t>
            </w:r>
          </w:p>
        </w:tc>
        <w:tc>
          <w:tcPr>
            <w:tcW w:w="2001" w:type="dxa"/>
            <w:tcBorders>
              <w:top w:val="nil"/>
              <w:left w:val="nil"/>
              <w:bottom w:val="nil"/>
              <w:right w:val="nil"/>
            </w:tcBorders>
            <w:shd w:val="clear" w:color="auto" w:fill="auto"/>
            <w:vAlign w:val="center"/>
          </w:tcPr>
          <w:p w14:paraId="2E30EF0D"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3 [3.8%] (0.8–10.8)</w:t>
            </w:r>
          </w:p>
        </w:tc>
      </w:tr>
      <w:tr w:rsidR="00C16CE3" w:rsidRPr="004825BB" w14:paraId="5A69AA69" w14:textId="77777777" w:rsidTr="00C16CE3">
        <w:trPr>
          <w:trHeight w:val="142"/>
        </w:trPr>
        <w:tc>
          <w:tcPr>
            <w:tcW w:w="3713" w:type="dxa"/>
            <w:tcBorders>
              <w:top w:val="nil"/>
              <w:left w:val="nil"/>
              <w:bottom w:val="nil"/>
              <w:right w:val="nil"/>
            </w:tcBorders>
            <w:shd w:val="clear" w:color="auto" w:fill="auto"/>
            <w:vAlign w:val="center"/>
          </w:tcPr>
          <w:p w14:paraId="5367B9FF"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Most of the time</w:t>
            </w:r>
          </w:p>
        </w:tc>
        <w:tc>
          <w:tcPr>
            <w:tcW w:w="2143" w:type="dxa"/>
            <w:tcBorders>
              <w:top w:val="nil"/>
              <w:left w:val="nil"/>
              <w:bottom w:val="nil"/>
              <w:right w:val="nil"/>
            </w:tcBorders>
            <w:shd w:val="clear" w:color="auto" w:fill="auto"/>
            <w:vAlign w:val="center"/>
          </w:tcPr>
          <w:p w14:paraId="4D576060"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5 [6.4%] (2.1–14.3)</w:t>
            </w:r>
          </w:p>
        </w:tc>
        <w:tc>
          <w:tcPr>
            <w:tcW w:w="2001" w:type="dxa"/>
            <w:tcBorders>
              <w:top w:val="nil"/>
              <w:left w:val="nil"/>
              <w:bottom w:val="nil"/>
              <w:right w:val="nil"/>
            </w:tcBorders>
            <w:shd w:val="clear" w:color="auto" w:fill="auto"/>
            <w:vAlign w:val="center"/>
          </w:tcPr>
          <w:p w14:paraId="2C191C91"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8 [10.3%] (4.5–19.2)</w:t>
            </w:r>
          </w:p>
        </w:tc>
      </w:tr>
      <w:tr w:rsidR="00C16CE3" w:rsidRPr="004825BB" w14:paraId="0C47689D" w14:textId="77777777" w:rsidTr="00C16CE3">
        <w:trPr>
          <w:trHeight w:val="142"/>
        </w:trPr>
        <w:tc>
          <w:tcPr>
            <w:tcW w:w="3713" w:type="dxa"/>
            <w:tcBorders>
              <w:top w:val="nil"/>
              <w:left w:val="nil"/>
              <w:bottom w:val="single" w:sz="4" w:space="0" w:color="auto"/>
              <w:right w:val="nil"/>
            </w:tcBorders>
            <w:shd w:val="clear" w:color="auto" w:fill="auto"/>
            <w:vAlign w:val="center"/>
          </w:tcPr>
          <w:p w14:paraId="22BB5FC7"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All the time</w:t>
            </w:r>
          </w:p>
        </w:tc>
        <w:tc>
          <w:tcPr>
            <w:tcW w:w="2143" w:type="dxa"/>
            <w:tcBorders>
              <w:top w:val="nil"/>
              <w:left w:val="nil"/>
              <w:bottom w:val="single" w:sz="4" w:space="0" w:color="auto"/>
              <w:right w:val="nil"/>
            </w:tcBorders>
            <w:shd w:val="clear" w:color="auto" w:fill="auto"/>
            <w:vAlign w:val="center"/>
          </w:tcPr>
          <w:p w14:paraId="095622C6"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67 [85.9%] (76.2–92.7)</w:t>
            </w:r>
          </w:p>
        </w:tc>
        <w:tc>
          <w:tcPr>
            <w:tcW w:w="2001" w:type="dxa"/>
            <w:tcBorders>
              <w:top w:val="nil"/>
              <w:left w:val="nil"/>
              <w:bottom w:val="single" w:sz="4" w:space="0" w:color="auto"/>
              <w:right w:val="nil"/>
            </w:tcBorders>
            <w:shd w:val="clear" w:color="auto" w:fill="auto"/>
            <w:vAlign w:val="center"/>
          </w:tcPr>
          <w:p w14:paraId="4880B25D"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63 [80.8%] (70.3–88.8)</w:t>
            </w:r>
          </w:p>
        </w:tc>
      </w:tr>
      <w:tr w:rsidR="00FB785E" w:rsidRPr="004825BB" w14:paraId="4DF56FEB" w14:textId="77777777" w:rsidTr="00C16CE3">
        <w:tc>
          <w:tcPr>
            <w:tcW w:w="3713" w:type="dxa"/>
            <w:tcBorders>
              <w:left w:val="nil"/>
              <w:bottom w:val="single" w:sz="4" w:space="0" w:color="auto"/>
              <w:right w:val="nil"/>
            </w:tcBorders>
            <w:shd w:val="clear" w:color="auto" w:fill="auto"/>
            <w:vAlign w:val="center"/>
          </w:tcPr>
          <w:p w14:paraId="2A8505CF" w14:textId="77777777" w:rsidR="00FB785E" w:rsidRPr="004825BB" w:rsidRDefault="00043EA3" w:rsidP="00C16CE3">
            <w:pPr>
              <w:autoSpaceDE w:val="0"/>
              <w:autoSpaceDN w:val="0"/>
              <w:adjustRightInd w:val="0"/>
              <w:snapToGrid w:val="0"/>
              <w:spacing w:line="240" w:lineRule="auto"/>
              <w:jc w:val="center"/>
              <w:rPr>
                <w:szCs w:val="16"/>
              </w:rPr>
            </w:pPr>
            <w:r w:rsidRPr="004825BB">
              <w:rPr>
                <w:i/>
                <w:szCs w:val="16"/>
              </w:rPr>
              <w:t>p</w:t>
            </w:r>
            <w:r w:rsidR="00FB785E" w:rsidRPr="004825BB">
              <w:rPr>
                <w:szCs w:val="16"/>
              </w:rPr>
              <w:t xml:space="preserve"> value</w:t>
            </w:r>
          </w:p>
        </w:tc>
        <w:tc>
          <w:tcPr>
            <w:tcW w:w="4144" w:type="dxa"/>
            <w:gridSpan w:val="2"/>
            <w:tcBorders>
              <w:left w:val="nil"/>
              <w:bottom w:val="single" w:sz="4" w:space="0" w:color="auto"/>
              <w:right w:val="nil"/>
            </w:tcBorders>
            <w:shd w:val="clear" w:color="auto" w:fill="auto"/>
            <w:vAlign w:val="center"/>
          </w:tcPr>
          <w:p w14:paraId="4C3CA792" w14:textId="77777777" w:rsidR="00FB785E" w:rsidRPr="004825BB" w:rsidRDefault="00FB785E" w:rsidP="00C16CE3">
            <w:pPr>
              <w:autoSpaceDE w:val="0"/>
              <w:autoSpaceDN w:val="0"/>
              <w:adjustRightInd w:val="0"/>
              <w:snapToGrid w:val="0"/>
              <w:spacing w:line="240" w:lineRule="auto"/>
              <w:jc w:val="center"/>
              <w:rPr>
                <w:szCs w:val="16"/>
              </w:rPr>
            </w:pPr>
            <w:r w:rsidRPr="004825BB">
              <w:rPr>
                <w:szCs w:val="16"/>
              </w:rPr>
              <w:t>0.288</w:t>
            </w:r>
          </w:p>
        </w:tc>
      </w:tr>
      <w:tr w:rsidR="00C16CE3" w:rsidRPr="004825BB" w14:paraId="3E7ABDD6" w14:textId="77777777" w:rsidTr="00C16CE3">
        <w:trPr>
          <w:trHeight w:val="145"/>
        </w:trPr>
        <w:tc>
          <w:tcPr>
            <w:tcW w:w="3713" w:type="dxa"/>
            <w:tcBorders>
              <w:top w:val="single" w:sz="4" w:space="0" w:color="auto"/>
              <w:left w:val="nil"/>
              <w:bottom w:val="nil"/>
              <w:right w:val="nil"/>
            </w:tcBorders>
            <w:shd w:val="clear" w:color="auto" w:fill="auto"/>
            <w:vAlign w:val="center"/>
          </w:tcPr>
          <w:p w14:paraId="5BD36914"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Availability of someone to prepare your meals if you are unable to do it yourself</w:t>
            </w:r>
          </w:p>
        </w:tc>
        <w:tc>
          <w:tcPr>
            <w:tcW w:w="2143" w:type="dxa"/>
            <w:tcBorders>
              <w:top w:val="single" w:sz="4" w:space="0" w:color="auto"/>
              <w:left w:val="nil"/>
              <w:bottom w:val="nil"/>
              <w:right w:val="nil"/>
            </w:tcBorders>
            <w:shd w:val="clear" w:color="auto" w:fill="auto"/>
            <w:vAlign w:val="center"/>
          </w:tcPr>
          <w:p w14:paraId="587314E2"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Mean score *: 4.4 ± 1.1</w:t>
            </w:r>
          </w:p>
        </w:tc>
        <w:tc>
          <w:tcPr>
            <w:tcW w:w="2001" w:type="dxa"/>
            <w:tcBorders>
              <w:top w:val="single" w:sz="4" w:space="0" w:color="auto"/>
              <w:left w:val="nil"/>
              <w:bottom w:val="nil"/>
              <w:right w:val="nil"/>
            </w:tcBorders>
            <w:shd w:val="clear" w:color="auto" w:fill="auto"/>
            <w:vAlign w:val="center"/>
          </w:tcPr>
          <w:p w14:paraId="51F4FC2A"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Mean score *: 4.7 ± 0.9</w:t>
            </w:r>
          </w:p>
        </w:tc>
      </w:tr>
      <w:tr w:rsidR="00C16CE3" w:rsidRPr="004825BB" w14:paraId="6E2EF7D6" w14:textId="77777777" w:rsidTr="00C16CE3">
        <w:trPr>
          <w:trHeight w:val="142"/>
        </w:trPr>
        <w:tc>
          <w:tcPr>
            <w:tcW w:w="3713" w:type="dxa"/>
            <w:tcBorders>
              <w:top w:val="nil"/>
              <w:left w:val="nil"/>
              <w:bottom w:val="nil"/>
              <w:right w:val="nil"/>
            </w:tcBorders>
            <w:shd w:val="clear" w:color="auto" w:fill="auto"/>
            <w:vAlign w:val="center"/>
          </w:tcPr>
          <w:p w14:paraId="05D187C6"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None of the time</w:t>
            </w:r>
          </w:p>
        </w:tc>
        <w:tc>
          <w:tcPr>
            <w:tcW w:w="2143" w:type="dxa"/>
            <w:tcBorders>
              <w:top w:val="nil"/>
              <w:left w:val="nil"/>
              <w:bottom w:val="nil"/>
              <w:right w:val="nil"/>
            </w:tcBorders>
            <w:shd w:val="clear" w:color="auto" w:fill="auto"/>
            <w:vAlign w:val="center"/>
          </w:tcPr>
          <w:p w14:paraId="52525FEA"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3 [3.8%] (0.8–10.8)</w:t>
            </w:r>
          </w:p>
        </w:tc>
        <w:tc>
          <w:tcPr>
            <w:tcW w:w="2001" w:type="dxa"/>
            <w:tcBorders>
              <w:top w:val="nil"/>
              <w:left w:val="nil"/>
              <w:bottom w:val="nil"/>
              <w:right w:val="nil"/>
            </w:tcBorders>
            <w:shd w:val="clear" w:color="auto" w:fill="auto"/>
            <w:vAlign w:val="center"/>
          </w:tcPr>
          <w:p w14:paraId="3D367B8F"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1 [1.3%] (0.0–6.9)</w:t>
            </w:r>
          </w:p>
        </w:tc>
      </w:tr>
      <w:tr w:rsidR="00C16CE3" w:rsidRPr="004825BB" w14:paraId="0502D6C8" w14:textId="77777777" w:rsidTr="00C16CE3">
        <w:trPr>
          <w:trHeight w:val="142"/>
        </w:trPr>
        <w:tc>
          <w:tcPr>
            <w:tcW w:w="3713" w:type="dxa"/>
            <w:tcBorders>
              <w:top w:val="nil"/>
              <w:left w:val="nil"/>
              <w:bottom w:val="nil"/>
              <w:right w:val="nil"/>
            </w:tcBorders>
            <w:shd w:val="clear" w:color="auto" w:fill="auto"/>
            <w:vAlign w:val="center"/>
          </w:tcPr>
          <w:p w14:paraId="1AE6B33F"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A little of the time</w:t>
            </w:r>
          </w:p>
        </w:tc>
        <w:tc>
          <w:tcPr>
            <w:tcW w:w="2143" w:type="dxa"/>
            <w:tcBorders>
              <w:top w:val="nil"/>
              <w:left w:val="nil"/>
              <w:bottom w:val="nil"/>
              <w:right w:val="nil"/>
            </w:tcBorders>
            <w:shd w:val="clear" w:color="auto" w:fill="auto"/>
            <w:vAlign w:val="center"/>
          </w:tcPr>
          <w:p w14:paraId="1F773DF2"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4 [5.1%] (1.4–12.6)</w:t>
            </w:r>
          </w:p>
        </w:tc>
        <w:tc>
          <w:tcPr>
            <w:tcW w:w="2001" w:type="dxa"/>
            <w:tcBorders>
              <w:top w:val="nil"/>
              <w:left w:val="nil"/>
              <w:bottom w:val="nil"/>
              <w:right w:val="nil"/>
            </w:tcBorders>
            <w:shd w:val="clear" w:color="auto" w:fill="auto"/>
            <w:vAlign w:val="center"/>
          </w:tcPr>
          <w:p w14:paraId="3C904062"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5 [6.4%] (2.1–14.3)</w:t>
            </w:r>
          </w:p>
        </w:tc>
      </w:tr>
      <w:tr w:rsidR="00C16CE3" w:rsidRPr="004825BB" w14:paraId="711CFAA2" w14:textId="77777777" w:rsidTr="00C16CE3">
        <w:trPr>
          <w:trHeight w:val="142"/>
        </w:trPr>
        <w:tc>
          <w:tcPr>
            <w:tcW w:w="3713" w:type="dxa"/>
            <w:tcBorders>
              <w:top w:val="nil"/>
              <w:left w:val="nil"/>
              <w:bottom w:val="nil"/>
              <w:right w:val="nil"/>
            </w:tcBorders>
            <w:shd w:val="clear" w:color="auto" w:fill="auto"/>
            <w:vAlign w:val="center"/>
          </w:tcPr>
          <w:p w14:paraId="58F66EB4"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Some of the time</w:t>
            </w:r>
          </w:p>
        </w:tc>
        <w:tc>
          <w:tcPr>
            <w:tcW w:w="2143" w:type="dxa"/>
            <w:tcBorders>
              <w:top w:val="nil"/>
              <w:left w:val="nil"/>
              <w:bottom w:val="nil"/>
              <w:right w:val="nil"/>
            </w:tcBorders>
            <w:shd w:val="clear" w:color="auto" w:fill="auto"/>
            <w:vAlign w:val="center"/>
          </w:tcPr>
          <w:p w14:paraId="0101C424"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7 [9.0%] (3.7–17.6)</w:t>
            </w:r>
          </w:p>
        </w:tc>
        <w:tc>
          <w:tcPr>
            <w:tcW w:w="2001" w:type="dxa"/>
            <w:tcBorders>
              <w:top w:val="nil"/>
              <w:left w:val="nil"/>
              <w:bottom w:val="nil"/>
              <w:right w:val="nil"/>
            </w:tcBorders>
            <w:shd w:val="clear" w:color="auto" w:fill="auto"/>
            <w:vAlign w:val="center"/>
          </w:tcPr>
          <w:p w14:paraId="3BCE36E6"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1 [1.3%] (0.0–6.9)</w:t>
            </w:r>
          </w:p>
        </w:tc>
      </w:tr>
      <w:tr w:rsidR="00C16CE3" w:rsidRPr="004825BB" w14:paraId="7D88CD49" w14:textId="77777777" w:rsidTr="00C16CE3">
        <w:trPr>
          <w:trHeight w:val="142"/>
        </w:trPr>
        <w:tc>
          <w:tcPr>
            <w:tcW w:w="3713" w:type="dxa"/>
            <w:tcBorders>
              <w:top w:val="nil"/>
              <w:left w:val="nil"/>
              <w:bottom w:val="nil"/>
              <w:right w:val="nil"/>
            </w:tcBorders>
            <w:shd w:val="clear" w:color="auto" w:fill="auto"/>
            <w:vAlign w:val="center"/>
          </w:tcPr>
          <w:p w14:paraId="7FC7FF6D"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Most of the time</w:t>
            </w:r>
          </w:p>
        </w:tc>
        <w:tc>
          <w:tcPr>
            <w:tcW w:w="2143" w:type="dxa"/>
            <w:tcBorders>
              <w:top w:val="nil"/>
              <w:left w:val="nil"/>
              <w:bottom w:val="nil"/>
              <w:right w:val="nil"/>
            </w:tcBorders>
            <w:shd w:val="clear" w:color="auto" w:fill="auto"/>
            <w:vAlign w:val="center"/>
          </w:tcPr>
          <w:p w14:paraId="369EEC10"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7 [9.0%] (3.7–17.6)</w:t>
            </w:r>
          </w:p>
        </w:tc>
        <w:tc>
          <w:tcPr>
            <w:tcW w:w="2001" w:type="dxa"/>
            <w:tcBorders>
              <w:top w:val="nil"/>
              <w:left w:val="nil"/>
              <w:bottom w:val="nil"/>
              <w:right w:val="nil"/>
            </w:tcBorders>
            <w:shd w:val="clear" w:color="auto" w:fill="auto"/>
            <w:vAlign w:val="center"/>
          </w:tcPr>
          <w:p w14:paraId="09D2F835"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5 [6.4%] (2.1–14.3)</w:t>
            </w:r>
          </w:p>
        </w:tc>
      </w:tr>
      <w:tr w:rsidR="00C16CE3" w:rsidRPr="004825BB" w14:paraId="44E5F6CF" w14:textId="77777777" w:rsidTr="00C16CE3">
        <w:trPr>
          <w:trHeight w:val="142"/>
        </w:trPr>
        <w:tc>
          <w:tcPr>
            <w:tcW w:w="3713" w:type="dxa"/>
            <w:tcBorders>
              <w:top w:val="nil"/>
              <w:left w:val="nil"/>
              <w:bottom w:val="single" w:sz="4" w:space="0" w:color="auto"/>
              <w:right w:val="nil"/>
            </w:tcBorders>
            <w:shd w:val="clear" w:color="auto" w:fill="auto"/>
            <w:vAlign w:val="center"/>
          </w:tcPr>
          <w:p w14:paraId="04386707"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All the time</w:t>
            </w:r>
          </w:p>
        </w:tc>
        <w:tc>
          <w:tcPr>
            <w:tcW w:w="2143" w:type="dxa"/>
            <w:tcBorders>
              <w:top w:val="nil"/>
              <w:left w:val="nil"/>
              <w:bottom w:val="single" w:sz="4" w:space="0" w:color="auto"/>
              <w:right w:val="nil"/>
            </w:tcBorders>
            <w:shd w:val="clear" w:color="auto" w:fill="auto"/>
            <w:vAlign w:val="center"/>
          </w:tcPr>
          <w:p w14:paraId="02D5349D"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57 [73.1%] (61.8–82.5)</w:t>
            </w:r>
          </w:p>
        </w:tc>
        <w:tc>
          <w:tcPr>
            <w:tcW w:w="2001" w:type="dxa"/>
            <w:tcBorders>
              <w:top w:val="nil"/>
              <w:left w:val="nil"/>
              <w:bottom w:val="single" w:sz="4" w:space="0" w:color="auto"/>
              <w:right w:val="nil"/>
            </w:tcBorders>
            <w:shd w:val="clear" w:color="auto" w:fill="auto"/>
            <w:vAlign w:val="center"/>
          </w:tcPr>
          <w:p w14:paraId="48501FEF"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66 [84.6%] (74.7–91.8)</w:t>
            </w:r>
          </w:p>
        </w:tc>
      </w:tr>
      <w:tr w:rsidR="00FB785E" w:rsidRPr="004825BB" w14:paraId="7C44E517" w14:textId="77777777" w:rsidTr="00C16CE3">
        <w:tc>
          <w:tcPr>
            <w:tcW w:w="3713" w:type="dxa"/>
            <w:tcBorders>
              <w:left w:val="nil"/>
              <w:bottom w:val="single" w:sz="4" w:space="0" w:color="auto"/>
              <w:right w:val="nil"/>
            </w:tcBorders>
            <w:shd w:val="clear" w:color="auto" w:fill="auto"/>
            <w:vAlign w:val="center"/>
          </w:tcPr>
          <w:p w14:paraId="453A2BA8" w14:textId="77777777" w:rsidR="00FB785E" w:rsidRPr="004825BB" w:rsidRDefault="00043EA3" w:rsidP="00C16CE3">
            <w:pPr>
              <w:autoSpaceDE w:val="0"/>
              <w:autoSpaceDN w:val="0"/>
              <w:adjustRightInd w:val="0"/>
              <w:snapToGrid w:val="0"/>
              <w:spacing w:line="240" w:lineRule="auto"/>
              <w:jc w:val="center"/>
              <w:rPr>
                <w:szCs w:val="16"/>
              </w:rPr>
            </w:pPr>
            <w:r w:rsidRPr="004825BB">
              <w:rPr>
                <w:i/>
                <w:szCs w:val="16"/>
              </w:rPr>
              <w:t>p</w:t>
            </w:r>
            <w:r w:rsidR="00FB785E" w:rsidRPr="004825BB">
              <w:rPr>
                <w:szCs w:val="16"/>
              </w:rPr>
              <w:t xml:space="preserve"> value</w:t>
            </w:r>
          </w:p>
        </w:tc>
        <w:tc>
          <w:tcPr>
            <w:tcW w:w="4144" w:type="dxa"/>
            <w:gridSpan w:val="2"/>
            <w:tcBorders>
              <w:left w:val="nil"/>
              <w:bottom w:val="single" w:sz="4" w:space="0" w:color="auto"/>
              <w:right w:val="nil"/>
            </w:tcBorders>
            <w:shd w:val="clear" w:color="auto" w:fill="auto"/>
            <w:vAlign w:val="center"/>
          </w:tcPr>
          <w:p w14:paraId="63A9984E" w14:textId="77777777" w:rsidR="00FB785E" w:rsidRPr="004825BB" w:rsidRDefault="00FB785E" w:rsidP="00C16CE3">
            <w:pPr>
              <w:autoSpaceDE w:val="0"/>
              <w:autoSpaceDN w:val="0"/>
              <w:adjustRightInd w:val="0"/>
              <w:snapToGrid w:val="0"/>
              <w:spacing w:line="240" w:lineRule="auto"/>
              <w:jc w:val="center"/>
              <w:rPr>
                <w:b/>
                <w:szCs w:val="16"/>
              </w:rPr>
            </w:pPr>
            <w:r w:rsidRPr="004825BB">
              <w:rPr>
                <w:b/>
                <w:szCs w:val="16"/>
              </w:rPr>
              <w:t>0.019</w:t>
            </w:r>
          </w:p>
        </w:tc>
      </w:tr>
      <w:tr w:rsidR="00C16CE3" w:rsidRPr="004825BB" w14:paraId="6381DA42" w14:textId="77777777" w:rsidTr="00C16CE3">
        <w:trPr>
          <w:trHeight w:val="145"/>
        </w:trPr>
        <w:tc>
          <w:tcPr>
            <w:tcW w:w="3713" w:type="dxa"/>
            <w:tcBorders>
              <w:top w:val="single" w:sz="4" w:space="0" w:color="auto"/>
              <w:left w:val="nil"/>
              <w:bottom w:val="nil"/>
              <w:right w:val="nil"/>
            </w:tcBorders>
            <w:shd w:val="clear" w:color="auto" w:fill="auto"/>
            <w:vAlign w:val="center"/>
          </w:tcPr>
          <w:p w14:paraId="7A158DC0"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Availability of someone to help with daily chores if you were sick</w:t>
            </w:r>
          </w:p>
        </w:tc>
        <w:tc>
          <w:tcPr>
            <w:tcW w:w="2143" w:type="dxa"/>
            <w:tcBorders>
              <w:top w:val="single" w:sz="4" w:space="0" w:color="auto"/>
              <w:left w:val="nil"/>
              <w:bottom w:val="nil"/>
              <w:right w:val="nil"/>
            </w:tcBorders>
            <w:shd w:val="clear" w:color="auto" w:fill="auto"/>
            <w:vAlign w:val="center"/>
          </w:tcPr>
          <w:p w14:paraId="27EBFC42"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Mean score *: 4.5 ± 1.1</w:t>
            </w:r>
          </w:p>
        </w:tc>
        <w:tc>
          <w:tcPr>
            <w:tcW w:w="2001" w:type="dxa"/>
            <w:tcBorders>
              <w:top w:val="single" w:sz="4" w:space="0" w:color="auto"/>
              <w:left w:val="nil"/>
              <w:bottom w:val="nil"/>
              <w:right w:val="nil"/>
            </w:tcBorders>
            <w:shd w:val="clear" w:color="auto" w:fill="auto"/>
            <w:vAlign w:val="center"/>
          </w:tcPr>
          <w:p w14:paraId="23392D0C"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Mean score *: 4.7 ± 0.9</w:t>
            </w:r>
          </w:p>
        </w:tc>
      </w:tr>
      <w:tr w:rsidR="00C16CE3" w:rsidRPr="004825BB" w14:paraId="2F446B7F" w14:textId="77777777" w:rsidTr="00C16CE3">
        <w:trPr>
          <w:trHeight w:val="142"/>
        </w:trPr>
        <w:tc>
          <w:tcPr>
            <w:tcW w:w="3713" w:type="dxa"/>
            <w:tcBorders>
              <w:top w:val="nil"/>
              <w:left w:val="nil"/>
              <w:bottom w:val="nil"/>
              <w:right w:val="nil"/>
            </w:tcBorders>
            <w:shd w:val="clear" w:color="auto" w:fill="auto"/>
            <w:vAlign w:val="center"/>
          </w:tcPr>
          <w:p w14:paraId="079EF8F6"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None of the time</w:t>
            </w:r>
          </w:p>
        </w:tc>
        <w:tc>
          <w:tcPr>
            <w:tcW w:w="2143" w:type="dxa"/>
            <w:tcBorders>
              <w:top w:val="nil"/>
              <w:left w:val="nil"/>
              <w:bottom w:val="nil"/>
              <w:right w:val="nil"/>
            </w:tcBorders>
            <w:shd w:val="clear" w:color="auto" w:fill="auto"/>
            <w:vAlign w:val="center"/>
          </w:tcPr>
          <w:p w14:paraId="78C1A6D1"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1 [1.3%] (0.0–6.9)</w:t>
            </w:r>
          </w:p>
        </w:tc>
        <w:tc>
          <w:tcPr>
            <w:tcW w:w="2001" w:type="dxa"/>
            <w:tcBorders>
              <w:top w:val="nil"/>
              <w:left w:val="nil"/>
              <w:bottom w:val="nil"/>
              <w:right w:val="nil"/>
            </w:tcBorders>
            <w:shd w:val="clear" w:color="auto" w:fill="auto"/>
            <w:vAlign w:val="center"/>
          </w:tcPr>
          <w:p w14:paraId="38299BA2"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1 [1.3%] (0.0–6.9)</w:t>
            </w:r>
          </w:p>
        </w:tc>
      </w:tr>
      <w:tr w:rsidR="00C16CE3" w:rsidRPr="004825BB" w14:paraId="33977869" w14:textId="77777777" w:rsidTr="00C16CE3">
        <w:trPr>
          <w:trHeight w:val="142"/>
        </w:trPr>
        <w:tc>
          <w:tcPr>
            <w:tcW w:w="3713" w:type="dxa"/>
            <w:tcBorders>
              <w:top w:val="nil"/>
              <w:left w:val="nil"/>
              <w:bottom w:val="nil"/>
              <w:right w:val="nil"/>
            </w:tcBorders>
            <w:shd w:val="clear" w:color="auto" w:fill="auto"/>
            <w:vAlign w:val="center"/>
          </w:tcPr>
          <w:p w14:paraId="6EDCB236"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A little of the time</w:t>
            </w:r>
          </w:p>
        </w:tc>
        <w:tc>
          <w:tcPr>
            <w:tcW w:w="2143" w:type="dxa"/>
            <w:tcBorders>
              <w:top w:val="nil"/>
              <w:left w:val="nil"/>
              <w:bottom w:val="nil"/>
              <w:right w:val="nil"/>
            </w:tcBorders>
            <w:shd w:val="clear" w:color="auto" w:fill="auto"/>
            <w:vAlign w:val="center"/>
          </w:tcPr>
          <w:p w14:paraId="23ADC1F9"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7 [9.0%] (3.7–17.6)</w:t>
            </w:r>
          </w:p>
        </w:tc>
        <w:tc>
          <w:tcPr>
            <w:tcW w:w="2001" w:type="dxa"/>
            <w:tcBorders>
              <w:top w:val="nil"/>
              <w:left w:val="nil"/>
              <w:bottom w:val="nil"/>
              <w:right w:val="nil"/>
            </w:tcBorders>
            <w:shd w:val="clear" w:color="auto" w:fill="auto"/>
            <w:vAlign w:val="center"/>
          </w:tcPr>
          <w:p w14:paraId="5BF726C7"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5 [6.4%] (2.1–14.3)</w:t>
            </w:r>
          </w:p>
        </w:tc>
      </w:tr>
      <w:tr w:rsidR="00C16CE3" w:rsidRPr="004825BB" w14:paraId="1DEF58F9" w14:textId="77777777" w:rsidTr="00C16CE3">
        <w:trPr>
          <w:trHeight w:val="142"/>
        </w:trPr>
        <w:tc>
          <w:tcPr>
            <w:tcW w:w="3713" w:type="dxa"/>
            <w:tcBorders>
              <w:top w:val="nil"/>
              <w:left w:val="nil"/>
              <w:bottom w:val="nil"/>
              <w:right w:val="nil"/>
            </w:tcBorders>
            <w:shd w:val="clear" w:color="auto" w:fill="auto"/>
            <w:vAlign w:val="center"/>
          </w:tcPr>
          <w:p w14:paraId="54F31EFF"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Some of the time</w:t>
            </w:r>
          </w:p>
        </w:tc>
        <w:tc>
          <w:tcPr>
            <w:tcW w:w="2143" w:type="dxa"/>
            <w:tcBorders>
              <w:top w:val="nil"/>
              <w:left w:val="nil"/>
              <w:bottom w:val="nil"/>
              <w:right w:val="nil"/>
            </w:tcBorders>
            <w:shd w:val="clear" w:color="auto" w:fill="auto"/>
            <w:vAlign w:val="center"/>
          </w:tcPr>
          <w:p w14:paraId="0DF90816"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6 [7.7%] (2.9–16.0)</w:t>
            </w:r>
          </w:p>
        </w:tc>
        <w:tc>
          <w:tcPr>
            <w:tcW w:w="2001" w:type="dxa"/>
            <w:tcBorders>
              <w:top w:val="nil"/>
              <w:left w:val="nil"/>
              <w:bottom w:val="nil"/>
              <w:right w:val="nil"/>
            </w:tcBorders>
            <w:shd w:val="clear" w:color="auto" w:fill="auto"/>
            <w:vAlign w:val="center"/>
          </w:tcPr>
          <w:p w14:paraId="25B7F99A"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1 [1.3%] (0.0–6.9)</w:t>
            </w:r>
          </w:p>
        </w:tc>
      </w:tr>
      <w:tr w:rsidR="00C16CE3" w:rsidRPr="004825BB" w14:paraId="12D4B577" w14:textId="77777777" w:rsidTr="00C16CE3">
        <w:trPr>
          <w:trHeight w:val="142"/>
        </w:trPr>
        <w:tc>
          <w:tcPr>
            <w:tcW w:w="3713" w:type="dxa"/>
            <w:tcBorders>
              <w:top w:val="nil"/>
              <w:left w:val="nil"/>
              <w:bottom w:val="nil"/>
              <w:right w:val="nil"/>
            </w:tcBorders>
            <w:shd w:val="clear" w:color="auto" w:fill="auto"/>
            <w:vAlign w:val="center"/>
          </w:tcPr>
          <w:p w14:paraId="0234FBA3"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Most of the time</w:t>
            </w:r>
          </w:p>
        </w:tc>
        <w:tc>
          <w:tcPr>
            <w:tcW w:w="2143" w:type="dxa"/>
            <w:tcBorders>
              <w:top w:val="nil"/>
              <w:left w:val="nil"/>
              <w:bottom w:val="nil"/>
              <w:right w:val="nil"/>
            </w:tcBorders>
            <w:shd w:val="clear" w:color="auto" w:fill="auto"/>
            <w:vAlign w:val="center"/>
          </w:tcPr>
          <w:p w14:paraId="45A65203"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5 [6.4%] (2.1–14.3)</w:t>
            </w:r>
          </w:p>
        </w:tc>
        <w:tc>
          <w:tcPr>
            <w:tcW w:w="2001" w:type="dxa"/>
            <w:tcBorders>
              <w:top w:val="nil"/>
              <w:left w:val="nil"/>
              <w:bottom w:val="nil"/>
              <w:right w:val="nil"/>
            </w:tcBorders>
            <w:shd w:val="clear" w:color="auto" w:fill="auto"/>
            <w:vAlign w:val="center"/>
          </w:tcPr>
          <w:p w14:paraId="18A526F8"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5 [6.4%] (2.1–14.3)</w:t>
            </w:r>
          </w:p>
        </w:tc>
      </w:tr>
      <w:tr w:rsidR="00C16CE3" w:rsidRPr="004825BB" w14:paraId="672B2B99" w14:textId="77777777" w:rsidTr="00C16CE3">
        <w:trPr>
          <w:trHeight w:val="142"/>
        </w:trPr>
        <w:tc>
          <w:tcPr>
            <w:tcW w:w="3713" w:type="dxa"/>
            <w:tcBorders>
              <w:top w:val="nil"/>
              <w:left w:val="nil"/>
              <w:right w:val="nil"/>
            </w:tcBorders>
            <w:shd w:val="clear" w:color="auto" w:fill="auto"/>
            <w:vAlign w:val="center"/>
          </w:tcPr>
          <w:p w14:paraId="054240A5"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All the time</w:t>
            </w:r>
          </w:p>
        </w:tc>
        <w:tc>
          <w:tcPr>
            <w:tcW w:w="2143" w:type="dxa"/>
            <w:tcBorders>
              <w:top w:val="nil"/>
              <w:left w:val="nil"/>
              <w:right w:val="nil"/>
            </w:tcBorders>
            <w:shd w:val="clear" w:color="auto" w:fill="auto"/>
            <w:vAlign w:val="center"/>
          </w:tcPr>
          <w:p w14:paraId="59B6A613"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59 [75.6%] (64.6–84.7)</w:t>
            </w:r>
          </w:p>
        </w:tc>
        <w:tc>
          <w:tcPr>
            <w:tcW w:w="2001" w:type="dxa"/>
            <w:tcBorders>
              <w:top w:val="nil"/>
              <w:left w:val="nil"/>
              <w:right w:val="nil"/>
            </w:tcBorders>
            <w:shd w:val="clear" w:color="auto" w:fill="auto"/>
            <w:vAlign w:val="center"/>
          </w:tcPr>
          <w:p w14:paraId="4F0E0037" w14:textId="77777777" w:rsidR="00C16CE3" w:rsidRPr="004825BB" w:rsidRDefault="00C16CE3" w:rsidP="00C16CE3">
            <w:pPr>
              <w:autoSpaceDE w:val="0"/>
              <w:autoSpaceDN w:val="0"/>
              <w:adjustRightInd w:val="0"/>
              <w:snapToGrid w:val="0"/>
              <w:spacing w:line="240" w:lineRule="auto"/>
              <w:jc w:val="center"/>
              <w:rPr>
                <w:szCs w:val="16"/>
              </w:rPr>
            </w:pPr>
            <w:r w:rsidRPr="004825BB">
              <w:rPr>
                <w:szCs w:val="16"/>
              </w:rPr>
              <w:t>66 [84.6%] (74.7–91.8)</w:t>
            </w:r>
          </w:p>
        </w:tc>
      </w:tr>
      <w:tr w:rsidR="00FB785E" w:rsidRPr="004825BB" w14:paraId="6569784E" w14:textId="77777777" w:rsidTr="00C16CE3">
        <w:tc>
          <w:tcPr>
            <w:tcW w:w="3713" w:type="dxa"/>
            <w:tcBorders>
              <w:left w:val="nil"/>
              <w:bottom w:val="single" w:sz="8" w:space="0" w:color="auto"/>
              <w:right w:val="nil"/>
            </w:tcBorders>
            <w:shd w:val="clear" w:color="auto" w:fill="auto"/>
            <w:vAlign w:val="center"/>
          </w:tcPr>
          <w:p w14:paraId="7E3482D1" w14:textId="77777777" w:rsidR="00FB785E" w:rsidRPr="004825BB" w:rsidRDefault="00043EA3" w:rsidP="00C16CE3">
            <w:pPr>
              <w:autoSpaceDE w:val="0"/>
              <w:autoSpaceDN w:val="0"/>
              <w:adjustRightInd w:val="0"/>
              <w:snapToGrid w:val="0"/>
              <w:spacing w:line="240" w:lineRule="auto"/>
              <w:jc w:val="center"/>
              <w:rPr>
                <w:szCs w:val="16"/>
              </w:rPr>
            </w:pPr>
            <w:r w:rsidRPr="004825BB">
              <w:rPr>
                <w:i/>
                <w:szCs w:val="16"/>
              </w:rPr>
              <w:t>p</w:t>
            </w:r>
            <w:r w:rsidR="00FB785E" w:rsidRPr="004825BB">
              <w:rPr>
                <w:szCs w:val="16"/>
              </w:rPr>
              <w:t xml:space="preserve"> value</w:t>
            </w:r>
          </w:p>
        </w:tc>
        <w:tc>
          <w:tcPr>
            <w:tcW w:w="4144" w:type="dxa"/>
            <w:gridSpan w:val="2"/>
            <w:tcBorders>
              <w:left w:val="nil"/>
              <w:bottom w:val="single" w:sz="8" w:space="0" w:color="auto"/>
              <w:right w:val="nil"/>
            </w:tcBorders>
            <w:shd w:val="clear" w:color="auto" w:fill="auto"/>
            <w:vAlign w:val="center"/>
          </w:tcPr>
          <w:p w14:paraId="3F8B7DE4" w14:textId="77777777" w:rsidR="00FB785E" w:rsidRPr="004825BB" w:rsidRDefault="00FB785E" w:rsidP="00C16CE3">
            <w:pPr>
              <w:autoSpaceDE w:val="0"/>
              <w:autoSpaceDN w:val="0"/>
              <w:adjustRightInd w:val="0"/>
              <w:snapToGrid w:val="0"/>
              <w:spacing w:line="240" w:lineRule="auto"/>
              <w:jc w:val="center"/>
              <w:rPr>
                <w:szCs w:val="16"/>
              </w:rPr>
            </w:pPr>
            <w:r w:rsidRPr="004825BB">
              <w:rPr>
                <w:szCs w:val="16"/>
              </w:rPr>
              <w:t>0.114</w:t>
            </w:r>
          </w:p>
        </w:tc>
      </w:tr>
    </w:tbl>
    <w:p w14:paraId="1A39386E" w14:textId="77777777" w:rsidR="00FB785E" w:rsidRPr="004825BB" w:rsidRDefault="00FB785E" w:rsidP="00BB0705">
      <w:pPr>
        <w:pStyle w:val="MDPI43tablefooter"/>
        <w:spacing w:after="240"/>
      </w:pPr>
      <w:r w:rsidRPr="004825BB">
        <w:t xml:space="preserve">MOS SSS: Medical Outcomes Study Social Support Survey. </w:t>
      </w:r>
      <w:r w:rsidR="004B3E58" w:rsidRPr="004825BB">
        <w:rPr>
          <w:i/>
        </w:rPr>
        <w:t xml:space="preserve">n </w:t>
      </w:r>
      <w:r w:rsidR="004B3E58" w:rsidRPr="004825BB">
        <w:t>=</w:t>
      </w:r>
      <w:r w:rsidR="004B3E58" w:rsidRPr="004825BB">
        <w:rPr>
          <w:i/>
        </w:rPr>
        <w:t xml:space="preserve"> </w:t>
      </w:r>
      <w:r w:rsidR="004B3E58" w:rsidRPr="004825BB">
        <w:t>n</w:t>
      </w:r>
      <w:r w:rsidRPr="004825BB">
        <w:t>umber of patients answering each category; [%</w:t>
      </w:r>
      <w:r w:rsidR="004B3E58" w:rsidRPr="004825BB">
        <w:t>] = p</w:t>
      </w:r>
      <w:r w:rsidRPr="004825BB">
        <w:t xml:space="preserve">ercentage; </w:t>
      </w:r>
      <w:r w:rsidRPr="004825BB">
        <w:rPr>
          <w:bCs/>
        </w:rPr>
        <w:t>(95% CI</w:t>
      </w:r>
      <w:r w:rsidR="004B3E58" w:rsidRPr="004825BB">
        <w:rPr>
          <w:bCs/>
        </w:rPr>
        <w:t>) = 9</w:t>
      </w:r>
      <w:r w:rsidRPr="004825BB">
        <w:rPr>
          <w:bCs/>
        </w:rPr>
        <w:t>5% confidence interval. *</w:t>
      </w:r>
      <w:r w:rsidR="00E2482A" w:rsidRPr="004825BB">
        <w:rPr>
          <w:bCs/>
        </w:rPr>
        <w:t xml:space="preserve"> </w:t>
      </w:r>
      <w:r w:rsidRPr="004825BB">
        <w:rPr>
          <w:bCs/>
        </w:rPr>
        <w:t xml:space="preserve">Mean score in each question. The maximum possible score for each question is 5. </w:t>
      </w:r>
      <w:r w:rsidRPr="004825BB">
        <w:t>Bold denotes significant values.</w:t>
      </w:r>
    </w:p>
    <w:p w14:paraId="2036A39D" w14:textId="77777777" w:rsidR="00FB785E" w:rsidRPr="004825BB" w:rsidRDefault="00FA5023" w:rsidP="00FA5023">
      <w:pPr>
        <w:pStyle w:val="MDPI41tablecaption"/>
        <w:jc w:val="both"/>
      </w:pPr>
      <w:r w:rsidRPr="004825BB">
        <w:rPr>
          <w:b/>
          <w:bCs/>
        </w:rPr>
        <w:t xml:space="preserve">Table 5. </w:t>
      </w:r>
      <w:r w:rsidR="00FB785E" w:rsidRPr="004825BB">
        <w:t>Univariate comparison between demographic and clinical variables with the MOS SSS</w:t>
      </w:r>
      <w:r w:rsidR="00B13B29">
        <w:t xml:space="preserve"> </w:t>
      </w:r>
      <w:r w:rsidR="00FB785E" w:rsidRPr="004825BB">
        <w:t xml:space="preserve">tangible support subscale: </w:t>
      </w:r>
      <w:r w:rsidR="00B13B29">
        <w:t>c</w:t>
      </w:r>
      <w:r w:rsidR="00FB785E" w:rsidRPr="004825BB">
        <w:t>omparison between the initial and final survey</w:t>
      </w:r>
      <w:r w:rsidR="00B13B29">
        <w:t>s</w:t>
      </w:r>
      <w:r w:rsidR="00FB785E" w:rsidRPr="004825BB">
        <w:t>.</w:t>
      </w:r>
    </w:p>
    <w:tbl>
      <w:tblPr>
        <w:tblStyle w:val="Tablaconcuadrcula"/>
        <w:tblW w:w="7857" w:type="dxa"/>
        <w:tblInd w:w="2608" w:type="dxa"/>
        <w:tblLayout w:type="fixed"/>
        <w:tblCellMar>
          <w:left w:w="0" w:type="dxa"/>
          <w:right w:w="0" w:type="dxa"/>
        </w:tblCellMar>
        <w:tblLook w:val="04A0" w:firstRow="1" w:lastRow="0" w:firstColumn="1" w:lastColumn="0" w:noHBand="0" w:noVBand="1"/>
      </w:tblPr>
      <w:tblGrid>
        <w:gridCol w:w="3713"/>
        <w:gridCol w:w="2143"/>
        <w:gridCol w:w="2001"/>
      </w:tblGrid>
      <w:tr w:rsidR="00FB785E" w:rsidRPr="004825BB" w14:paraId="3F9623C0" w14:textId="77777777" w:rsidTr="00FA5023">
        <w:tc>
          <w:tcPr>
            <w:tcW w:w="3685" w:type="dxa"/>
            <w:tcBorders>
              <w:top w:val="single" w:sz="8" w:space="0" w:color="auto"/>
              <w:left w:val="nil"/>
              <w:right w:val="nil"/>
            </w:tcBorders>
            <w:shd w:val="clear" w:color="auto" w:fill="auto"/>
            <w:vAlign w:val="center"/>
          </w:tcPr>
          <w:p w14:paraId="6B2F74BB" w14:textId="77777777" w:rsidR="00FB785E" w:rsidRPr="004825BB" w:rsidRDefault="00FB785E" w:rsidP="00FA5023">
            <w:pPr>
              <w:autoSpaceDE w:val="0"/>
              <w:autoSpaceDN w:val="0"/>
              <w:adjustRightInd w:val="0"/>
              <w:snapToGrid w:val="0"/>
              <w:spacing w:line="240" w:lineRule="auto"/>
              <w:jc w:val="center"/>
              <w:rPr>
                <w:b/>
                <w:szCs w:val="16"/>
              </w:rPr>
            </w:pPr>
          </w:p>
        </w:tc>
        <w:tc>
          <w:tcPr>
            <w:tcW w:w="2126" w:type="dxa"/>
            <w:tcBorders>
              <w:top w:val="single" w:sz="8" w:space="0" w:color="auto"/>
              <w:left w:val="nil"/>
              <w:right w:val="nil"/>
            </w:tcBorders>
            <w:shd w:val="clear" w:color="auto" w:fill="auto"/>
            <w:vAlign w:val="center"/>
          </w:tcPr>
          <w:p w14:paraId="169E1AB4" w14:textId="77777777" w:rsidR="00FB785E" w:rsidRPr="004825BB" w:rsidRDefault="00FB785E" w:rsidP="00FA5023">
            <w:pPr>
              <w:autoSpaceDE w:val="0"/>
              <w:autoSpaceDN w:val="0"/>
              <w:adjustRightInd w:val="0"/>
              <w:snapToGrid w:val="0"/>
              <w:spacing w:line="240" w:lineRule="auto"/>
              <w:jc w:val="center"/>
              <w:rPr>
                <w:b/>
                <w:szCs w:val="16"/>
              </w:rPr>
            </w:pPr>
            <w:r w:rsidRPr="004825BB">
              <w:rPr>
                <w:b/>
                <w:szCs w:val="16"/>
              </w:rPr>
              <w:t xml:space="preserve">Initial </w:t>
            </w:r>
            <w:r w:rsidR="00FD4D5D" w:rsidRPr="004825BB">
              <w:rPr>
                <w:b/>
                <w:szCs w:val="16"/>
              </w:rPr>
              <w:t>Survey</w:t>
            </w:r>
          </w:p>
        </w:tc>
        <w:tc>
          <w:tcPr>
            <w:tcW w:w="1985" w:type="dxa"/>
            <w:tcBorders>
              <w:top w:val="single" w:sz="8" w:space="0" w:color="auto"/>
              <w:left w:val="nil"/>
              <w:right w:val="nil"/>
            </w:tcBorders>
            <w:shd w:val="clear" w:color="auto" w:fill="auto"/>
            <w:vAlign w:val="center"/>
          </w:tcPr>
          <w:p w14:paraId="4A732D1A" w14:textId="77777777" w:rsidR="00FB785E" w:rsidRPr="004825BB" w:rsidRDefault="00FB785E" w:rsidP="00FA5023">
            <w:pPr>
              <w:autoSpaceDE w:val="0"/>
              <w:autoSpaceDN w:val="0"/>
              <w:adjustRightInd w:val="0"/>
              <w:snapToGrid w:val="0"/>
              <w:spacing w:line="240" w:lineRule="auto"/>
              <w:jc w:val="center"/>
              <w:rPr>
                <w:b/>
                <w:szCs w:val="16"/>
              </w:rPr>
            </w:pPr>
            <w:r w:rsidRPr="004825BB">
              <w:rPr>
                <w:b/>
                <w:szCs w:val="16"/>
              </w:rPr>
              <w:t xml:space="preserve">Final </w:t>
            </w:r>
            <w:r w:rsidR="00FD4D5D" w:rsidRPr="004825BB">
              <w:rPr>
                <w:b/>
                <w:szCs w:val="16"/>
              </w:rPr>
              <w:t>Survey</w:t>
            </w:r>
          </w:p>
        </w:tc>
      </w:tr>
      <w:tr w:rsidR="00FB785E" w:rsidRPr="004825BB" w14:paraId="3FDBAC33" w14:textId="77777777" w:rsidTr="00FA5023">
        <w:tc>
          <w:tcPr>
            <w:tcW w:w="3685" w:type="dxa"/>
            <w:tcBorders>
              <w:left w:val="nil"/>
              <w:right w:val="nil"/>
            </w:tcBorders>
            <w:shd w:val="clear" w:color="auto" w:fill="auto"/>
            <w:vAlign w:val="center"/>
          </w:tcPr>
          <w:p w14:paraId="7DE64667" w14:textId="77777777" w:rsidR="00FB785E" w:rsidRPr="004825BB" w:rsidRDefault="00FB785E" w:rsidP="00FA5023">
            <w:pPr>
              <w:autoSpaceDE w:val="0"/>
              <w:autoSpaceDN w:val="0"/>
              <w:adjustRightInd w:val="0"/>
              <w:snapToGrid w:val="0"/>
              <w:spacing w:line="240" w:lineRule="auto"/>
              <w:jc w:val="center"/>
              <w:rPr>
                <w:szCs w:val="16"/>
              </w:rPr>
            </w:pPr>
          </w:p>
        </w:tc>
        <w:tc>
          <w:tcPr>
            <w:tcW w:w="4111" w:type="dxa"/>
            <w:gridSpan w:val="2"/>
            <w:tcBorders>
              <w:left w:val="nil"/>
              <w:right w:val="nil"/>
            </w:tcBorders>
            <w:shd w:val="clear" w:color="auto" w:fill="auto"/>
            <w:vAlign w:val="center"/>
          </w:tcPr>
          <w:p w14:paraId="0627CC77" w14:textId="77777777" w:rsidR="00FB785E" w:rsidRPr="004825BB" w:rsidRDefault="00C56B41" w:rsidP="00FA5023">
            <w:pPr>
              <w:autoSpaceDE w:val="0"/>
              <w:autoSpaceDN w:val="0"/>
              <w:adjustRightInd w:val="0"/>
              <w:snapToGrid w:val="0"/>
              <w:spacing w:line="240" w:lineRule="auto"/>
              <w:jc w:val="center"/>
              <w:rPr>
                <w:szCs w:val="16"/>
              </w:rPr>
            </w:pPr>
            <w:r>
              <w:rPr>
                <w:szCs w:val="16"/>
              </w:rPr>
              <w:t>S</w:t>
            </w:r>
            <w:r w:rsidR="00FB785E" w:rsidRPr="004825BB">
              <w:rPr>
                <w:szCs w:val="16"/>
              </w:rPr>
              <w:t>ubscale score (index)</w:t>
            </w:r>
          </w:p>
        </w:tc>
      </w:tr>
      <w:tr w:rsidR="00FB785E" w:rsidRPr="004825BB" w14:paraId="21DEBA5E" w14:textId="77777777" w:rsidTr="00FA5023">
        <w:tc>
          <w:tcPr>
            <w:tcW w:w="3685" w:type="dxa"/>
            <w:tcBorders>
              <w:left w:val="nil"/>
              <w:right w:val="nil"/>
            </w:tcBorders>
            <w:shd w:val="clear" w:color="auto" w:fill="auto"/>
            <w:vAlign w:val="center"/>
          </w:tcPr>
          <w:p w14:paraId="6969F87E" w14:textId="77777777" w:rsidR="00FB785E" w:rsidRPr="004825BB" w:rsidRDefault="00FB785E" w:rsidP="00FA5023">
            <w:pPr>
              <w:autoSpaceDE w:val="0"/>
              <w:autoSpaceDN w:val="0"/>
              <w:adjustRightInd w:val="0"/>
              <w:snapToGrid w:val="0"/>
              <w:spacing w:line="240" w:lineRule="auto"/>
              <w:jc w:val="center"/>
              <w:rPr>
                <w:szCs w:val="16"/>
              </w:rPr>
            </w:pPr>
            <w:r w:rsidRPr="004825BB">
              <w:rPr>
                <w:szCs w:val="16"/>
              </w:rPr>
              <w:t>Sex</w:t>
            </w:r>
          </w:p>
        </w:tc>
        <w:tc>
          <w:tcPr>
            <w:tcW w:w="2126" w:type="dxa"/>
            <w:tcBorders>
              <w:left w:val="nil"/>
              <w:right w:val="nil"/>
            </w:tcBorders>
            <w:shd w:val="clear" w:color="auto" w:fill="auto"/>
            <w:vAlign w:val="center"/>
          </w:tcPr>
          <w:p w14:paraId="216EDD0E" w14:textId="77777777" w:rsidR="00FB785E" w:rsidRPr="004825BB" w:rsidRDefault="00FB785E" w:rsidP="00FA5023">
            <w:pPr>
              <w:autoSpaceDE w:val="0"/>
              <w:autoSpaceDN w:val="0"/>
              <w:adjustRightInd w:val="0"/>
              <w:snapToGrid w:val="0"/>
              <w:spacing w:line="240" w:lineRule="auto"/>
              <w:jc w:val="center"/>
              <w:rPr>
                <w:szCs w:val="16"/>
              </w:rPr>
            </w:pPr>
          </w:p>
        </w:tc>
        <w:tc>
          <w:tcPr>
            <w:tcW w:w="1985" w:type="dxa"/>
            <w:tcBorders>
              <w:left w:val="nil"/>
              <w:right w:val="nil"/>
            </w:tcBorders>
            <w:shd w:val="clear" w:color="auto" w:fill="auto"/>
            <w:vAlign w:val="center"/>
          </w:tcPr>
          <w:p w14:paraId="35232F6A" w14:textId="77777777" w:rsidR="00FB785E" w:rsidRPr="004825BB" w:rsidRDefault="00FB785E" w:rsidP="00FA5023">
            <w:pPr>
              <w:autoSpaceDE w:val="0"/>
              <w:autoSpaceDN w:val="0"/>
              <w:adjustRightInd w:val="0"/>
              <w:snapToGrid w:val="0"/>
              <w:spacing w:line="240" w:lineRule="auto"/>
              <w:jc w:val="center"/>
              <w:rPr>
                <w:szCs w:val="16"/>
              </w:rPr>
            </w:pPr>
          </w:p>
        </w:tc>
      </w:tr>
      <w:tr w:rsidR="00FB785E" w:rsidRPr="004825BB" w14:paraId="1C5FB5EA" w14:textId="77777777" w:rsidTr="00FA5023">
        <w:tc>
          <w:tcPr>
            <w:tcW w:w="3685" w:type="dxa"/>
            <w:tcBorders>
              <w:left w:val="nil"/>
              <w:right w:val="nil"/>
            </w:tcBorders>
            <w:shd w:val="clear" w:color="auto" w:fill="auto"/>
            <w:vAlign w:val="center"/>
          </w:tcPr>
          <w:p w14:paraId="78A07F36" w14:textId="77777777" w:rsidR="00FB785E" w:rsidRPr="004825BB" w:rsidRDefault="00FB785E" w:rsidP="00FA5023">
            <w:pPr>
              <w:autoSpaceDE w:val="0"/>
              <w:autoSpaceDN w:val="0"/>
              <w:adjustRightInd w:val="0"/>
              <w:snapToGrid w:val="0"/>
              <w:spacing w:line="240" w:lineRule="auto"/>
              <w:jc w:val="center"/>
              <w:rPr>
                <w:szCs w:val="16"/>
              </w:rPr>
            </w:pPr>
            <w:r w:rsidRPr="004825BB">
              <w:rPr>
                <w:szCs w:val="16"/>
              </w:rPr>
              <w:t>Male</w:t>
            </w:r>
          </w:p>
        </w:tc>
        <w:tc>
          <w:tcPr>
            <w:tcW w:w="2126" w:type="dxa"/>
            <w:tcBorders>
              <w:top w:val="single" w:sz="4" w:space="0" w:color="auto"/>
              <w:left w:val="nil"/>
              <w:bottom w:val="single" w:sz="4" w:space="0" w:color="auto"/>
              <w:right w:val="nil"/>
            </w:tcBorders>
            <w:shd w:val="clear" w:color="auto" w:fill="auto"/>
            <w:vAlign w:val="center"/>
          </w:tcPr>
          <w:p w14:paraId="403D3D5E"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19.09 (94.31)</w:t>
            </w:r>
          </w:p>
        </w:tc>
        <w:tc>
          <w:tcPr>
            <w:tcW w:w="1985" w:type="dxa"/>
            <w:tcBorders>
              <w:top w:val="single" w:sz="4" w:space="0" w:color="auto"/>
              <w:left w:val="nil"/>
              <w:bottom w:val="single" w:sz="4" w:space="0" w:color="auto"/>
              <w:right w:val="nil"/>
            </w:tcBorders>
            <w:shd w:val="clear" w:color="auto" w:fill="auto"/>
            <w:vAlign w:val="center"/>
          </w:tcPr>
          <w:p w14:paraId="086817A4"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19.24 (95.25)</w:t>
            </w:r>
          </w:p>
        </w:tc>
      </w:tr>
      <w:tr w:rsidR="00FB785E" w:rsidRPr="004825BB" w14:paraId="39DA2EE9" w14:textId="77777777" w:rsidTr="00FA5023">
        <w:tc>
          <w:tcPr>
            <w:tcW w:w="3685" w:type="dxa"/>
            <w:tcBorders>
              <w:left w:val="nil"/>
              <w:bottom w:val="single" w:sz="4" w:space="0" w:color="auto"/>
              <w:right w:val="nil"/>
            </w:tcBorders>
            <w:shd w:val="clear" w:color="auto" w:fill="auto"/>
            <w:vAlign w:val="center"/>
          </w:tcPr>
          <w:p w14:paraId="1ED2827D" w14:textId="77777777" w:rsidR="00FB785E" w:rsidRPr="004825BB" w:rsidRDefault="00FB785E" w:rsidP="00FA5023">
            <w:pPr>
              <w:autoSpaceDE w:val="0"/>
              <w:autoSpaceDN w:val="0"/>
              <w:adjustRightInd w:val="0"/>
              <w:snapToGrid w:val="0"/>
              <w:spacing w:line="240" w:lineRule="auto"/>
              <w:jc w:val="center"/>
              <w:rPr>
                <w:szCs w:val="16"/>
              </w:rPr>
            </w:pPr>
            <w:r w:rsidRPr="004825BB">
              <w:rPr>
                <w:szCs w:val="16"/>
              </w:rPr>
              <w:t>Female</w:t>
            </w:r>
          </w:p>
        </w:tc>
        <w:tc>
          <w:tcPr>
            <w:tcW w:w="2126" w:type="dxa"/>
            <w:tcBorders>
              <w:top w:val="single" w:sz="4" w:space="0" w:color="auto"/>
              <w:left w:val="nil"/>
              <w:bottom w:val="single" w:sz="4" w:space="0" w:color="auto"/>
              <w:right w:val="nil"/>
            </w:tcBorders>
            <w:shd w:val="clear" w:color="auto" w:fill="auto"/>
            <w:vAlign w:val="center"/>
          </w:tcPr>
          <w:p w14:paraId="0CE4BCE5"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17.02 (81.37)</w:t>
            </w:r>
          </w:p>
        </w:tc>
        <w:tc>
          <w:tcPr>
            <w:tcW w:w="1985" w:type="dxa"/>
            <w:tcBorders>
              <w:top w:val="single" w:sz="4" w:space="0" w:color="auto"/>
              <w:left w:val="nil"/>
              <w:bottom w:val="single" w:sz="4" w:space="0" w:color="auto"/>
              <w:right w:val="nil"/>
            </w:tcBorders>
            <w:shd w:val="clear" w:color="auto" w:fill="auto"/>
            <w:vAlign w:val="center"/>
          </w:tcPr>
          <w:p w14:paraId="3E2F5B9B"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18.11 (88.19)</w:t>
            </w:r>
          </w:p>
        </w:tc>
      </w:tr>
      <w:tr w:rsidR="00FB785E" w:rsidRPr="004825BB" w14:paraId="37F376A8" w14:textId="77777777" w:rsidTr="00FA5023">
        <w:tc>
          <w:tcPr>
            <w:tcW w:w="3685" w:type="dxa"/>
            <w:tcBorders>
              <w:left w:val="nil"/>
              <w:bottom w:val="single" w:sz="4" w:space="0" w:color="auto"/>
              <w:right w:val="nil"/>
            </w:tcBorders>
            <w:shd w:val="clear" w:color="auto" w:fill="auto"/>
            <w:vAlign w:val="center"/>
          </w:tcPr>
          <w:p w14:paraId="0246862D" w14:textId="77777777" w:rsidR="00FB785E" w:rsidRPr="004825BB" w:rsidRDefault="00043EA3" w:rsidP="00FA5023">
            <w:pPr>
              <w:autoSpaceDE w:val="0"/>
              <w:autoSpaceDN w:val="0"/>
              <w:adjustRightInd w:val="0"/>
              <w:snapToGrid w:val="0"/>
              <w:spacing w:line="240" w:lineRule="auto"/>
              <w:jc w:val="center"/>
              <w:rPr>
                <w:szCs w:val="16"/>
              </w:rPr>
            </w:pPr>
            <w:r w:rsidRPr="004825BB">
              <w:rPr>
                <w:i/>
                <w:szCs w:val="16"/>
              </w:rPr>
              <w:t>p</w:t>
            </w:r>
            <w:r w:rsidR="00FB785E" w:rsidRPr="004825BB">
              <w:rPr>
                <w:szCs w:val="16"/>
              </w:rPr>
              <w:t xml:space="preserve"> value</w:t>
            </w:r>
          </w:p>
        </w:tc>
        <w:tc>
          <w:tcPr>
            <w:tcW w:w="2126" w:type="dxa"/>
            <w:tcBorders>
              <w:left w:val="nil"/>
              <w:bottom w:val="single" w:sz="4" w:space="0" w:color="auto"/>
              <w:right w:val="nil"/>
            </w:tcBorders>
            <w:shd w:val="clear" w:color="auto" w:fill="auto"/>
            <w:vAlign w:val="center"/>
          </w:tcPr>
          <w:p w14:paraId="6696248B" w14:textId="77777777" w:rsidR="00FB785E" w:rsidRPr="004825BB" w:rsidRDefault="00FB785E" w:rsidP="00FA5023">
            <w:pPr>
              <w:autoSpaceDE w:val="0"/>
              <w:autoSpaceDN w:val="0"/>
              <w:adjustRightInd w:val="0"/>
              <w:snapToGrid w:val="0"/>
              <w:spacing w:line="240" w:lineRule="auto"/>
              <w:jc w:val="center"/>
              <w:rPr>
                <w:rFonts w:eastAsia="Times New Roman"/>
                <w:b/>
                <w:szCs w:val="16"/>
              </w:rPr>
            </w:pPr>
            <w:r w:rsidRPr="004825BB">
              <w:rPr>
                <w:rFonts w:eastAsia="Times New Roman"/>
                <w:b/>
                <w:szCs w:val="16"/>
              </w:rPr>
              <w:t>0.009</w:t>
            </w:r>
          </w:p>
        </w:tc>
        <w:tc>
          <w:tcPr>
            <w:tcW w:w="1985" w:type="dxa"/>
            <w:tcBorders>
              <w:left w:val="nil"/>
              <w:bottom w:val="single" w:sz="4" w:space="0" w:color="auto"/>
              <w:right w:val="nil"/>
            </w:tcBorders>
            <w:shd w:val="clear" w:color="auto" w:fill="auto"/>
            <w:vAlign w:val="center"/>
          </w:tcPr>
          <w:p w14:paraId="2904CB2E"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0.136</w:t>
            </w:r>
          </w:p>
        </w:tc>
      </w:tr>
      <w:tr w:rsidR="00FB785E" w:rsidRPr="004825BB" w14:paraId="0FCF04B4" w14:textId="77777777" w:rsidTr="00FA5023">
        <w:tc>
          <w:tcPr>
            <w:tcW w:w="3685" w:type="dxa"/>
            <w:tcBorders>
              <w:left w:val="nil"/>
              <w:bottom w:val="single" w:sz="4" w:space="0" w:color="auto"/>
              <w:right w:val="nil"/>
            </w:tcBorders>
            <w:shd w:val="clear" w:color="auto" w:fill="auto"/>
            <w:vAlign w:val="center"/>
          </w:tcPr>
          <w:p w14:paraId="121BE7CC" w14:textId="77777777" w:rsidR="00FB785E" w:rsidRPr="004825BB" w:rsidRDefault="00043EA3" w:rsidP="00FA5023">
            <w:pPr>
              <w:autoSpaceDE w:val="0"/>
              <w:autoSpaceDN w:val="0"/>
              <w:adjustRightInd w:val="0"/>
              <w:snapToGrid w:val="0"/>
              <w:spacing w:line="240" w:lineRule="auto"/>
              <w:jc w:val="center"/>
              <w:rPr>
                <w:szCs w:val="16"/>
              </w:rPr>
            </w:pPr>
            <w:r w:rsidRPr="004825BB">
              <w:rPr>
                <w:i/>
                <w:szCs w:val="16"/>
              </w:rPr>
              <w:t>p</w:t>
            </w:r>
            <w:r w:rsidR="00FB785E" w:rsidRPr="004825BB">
              <w:rPr>
                <w:szCs w:val="16"/>
              </w:rPr>
              <w:t xml:space="preserve"> value</w:t>
            </w:r>
            <w:r w:rsidR="00180CA5" w:rsidRPr="004825BB">
              <w:rPr>
                <w:szCs w:val="16"/>
              </w:rPr>
              <w:t xml:space="preserve"> </w:t>
            </w:r>
            <w:r w:rsidR="00FB785E" w:rsidRPr="004825BB">
              <w:rPr>
                <w:szCs w:val="16"/>
              </w:rPr>
              <w:t>*</w:t>
            </w:r>
          </w:p>
        </w:tc>
        <w:tc>
          <w:tcPr>
            <w:tcW w:w="4111" w:type="dxa"/>
            <w:gridSpan w:val="2"/>
            <w:tcBorders>
              <w:left w:val="nil"/>
              <w:bottom w:val="single" w:sz="4" w:space="0" w:color="auto"/>
              <w:right w:val="nil"/>
            </w:tcBorders>
            <w:shd w:val="clear" w:color="auto" w:fill="auto"/>
            <w:vAlign w:val="center"/>
          </w:tcPr>
          <w:p w14:paraId="53982BA4"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0.207</w:t>
            </w:r>
          </w:p>
        </w:tc>
      </w:tr>
      <w:tr w:rsidR="00FB785E" w:rsidRPr="004825BB" w14:paraId="7685D80B" w14:textId="77777777" w:rsidTr="00FA5023">
        <w:tc>
          <w:tcPr>
            <w:tcW w:w="3685" w:type="dxa"/>
            <w:tcBorders>
              <w:top w:val="single" w:sz="4" w:space="0" w:color="auto"/>
              <w:left w:val="nil"/>
              <w:right w:val="nil"/>
            </w:tcBorders>
            <w:shd w:val="clear" w:color="auto" w:fill="auto"/>
            <w:vAlign w:val="center"/>
          </w:tcPr>
          <w:p w14:paraId="13F423DE"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The patient lives</w:t>
            </w:r>
          </w:p>
        </w:tc>
        <w:tc>
          <w:tcPr>
            <w:tcW w:w="2126" w:type="dxa"/>
            <w:tcBorders>
              <w:top w:val="single" w:sz="4" w:space="0" w:color="auto"/>
              <w:left w:val="nil"/>
              <w:right w:val="nil"/>
            </w:tcBorders>
            <w:shd w:val="clear" w:color="auto" w:fill="auto"/>
            <w:vAlign w:val="center"/>
          </w:tcPr>
          <w:p w14:paraId="1810B126"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p>
        </w:tc>
        <w:tc>
          <w:tcPr>
            <w:tcW w:w="1985" w:type="dxa"/>
            <w:tcBorders>
              <w:top w:val="single" w:sz="4" w:space="0" w:color="auto"/>
              <w:left w:val="nil"/>
              <w:right w:val="nil"/>
            </w:tcBorders>
            <w:shd w:val="clear" w:color="auto" w:fill="auto"/>
            <w:vAlign w:val="center"/>
          </w:tcPr>
          <w:p w14:paraId="5368CCCE"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p>
        </w:tc>
      </w:tr>
      <w:tr w:rsidR="00FB785E" w:rsidRPr="004825BB" w14:paraId="78D4D06E" w14:textId="77777777" w:rsidTr="00FA5023">
        <w:tc>
          <w:tcPr>
            <w:tcW w:w="3685" w:type="dxa"/>
            <w:tcBorders>
              <w:left w:val="nil"/>
              <w:right w:val="nil"/>
            </w:tcBorders>
            <w:shd w:val="clear" w:color="auto" w:fill="auto"/>
            <w:vAlign w:val="center"/>
          </w:tcPr>
          <w:p w14:paraId="07BE1CB4" w14:textId="77777777" w:rsidR="00FB785E" w:rsidRPr="004825BB" w:rsidRDefault="00FB785E" w:rsidP="00FA5023">
            <w:pPr>
              <w:autoSpaceDE w:val="0"/>
              <w:autoSpaceDN w:val="0"/>
              <w:adjustRightInd w:val="0"/>
              <w:snapToGrid w:val="0"/>
              <w:spacing w:line="240" w:lineRule="auto"/>
              <w:jc w:val="center"/>
              <w:rPr>
                <w:szCs w:val="16"/>
              </w:rPr>
            </w:pPr>
            <w:r w:rsidRPr="004825BB">
              <w:rPr>
                <w:szCs w:val="16"/>
              </w:rPr>
              <w:t>Alone</w:t>
            </w:r>
          </w:p>
        </w:tc>
        <w:tc>
          <w:tcPr>
            <w:tcW w:w="2126" w:type="dxa"/>
            <w:tcBorders>
              <w:left w:val="nil"/>
              <w:right w:val="nil"/>
            </w:tcBorders>
            <w:shd w:val="clear" w:color="auto" w:fill="auto"/>
            <w:vAlign w:val="center"/>
          </w:tcPr>
          <w:p w14:paraId="235FDEDD"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16.22 (76.38)</w:t>
            </w:r>
          </w:p>
        </w:tc>
        <w:tc>
          <w:tcPr>
            <w:tcW w:w="1985" w:type="dxa"/>
            <w:tcBorders>
              <w:left w:val="nil"/>
              <w:right w:val="nil"/>
            </w:tcBorders>
            <w:shd w:val="clear" w:color="auto" w:fill="auto"/>
            <w:vAlign w:val="center"/>
          </w:tcPr>
          <w:p w14:paraId="2FF583FA"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16.35 (77.19)</w:t>
            </w:r>
          </w:p>
        </w:tc>
      </w:tr>
      <w:tr w:rsidR="00FB785E" w:rsidRPr="004825BB" w14:paraId="0A35A26F" w14:textId="77777777" w:rsidTr="00FA5023">
        <w:tc>
          <w:tcPr>
            <w:tcW w:w="3685" w:type="dxa"/>
            <w:tcBorders>
              <w:left w:val="nil"/>
              <w:right w:val="nil"/>
            </w:tcBorders>
            <w:shd w:val="clear" w:color="auto" w:fill="auto"/>
            <w:vAlign w:val="center"/>
          </w:tcPr>
          <w:p w14:paraId="174CF829" w14:textId="77777777" w:rsidR="00FB785E" w:rsidRPr="004825BB" w:rsidRDefault="00FB785E" w:rsidP="00FA5023">
            <w:pPr>
              <w:autoSpaceDE w:val="0"/>
              <w:autoSpaceDN w:val="0"/>
              <w:adjustRightInd w:val="0"/>
              <w:snapToGrid w:val="0"/>
              <w:spacing w:line="240" w:lineRule="auto"/>
              <w:jc w:val="center"/>
              <w:rPr>
                <w:szCs w:val="16"/>
              </w:rPr>
            </w:pPr>
            <w:r w:rsidRPr="004825BB">
              <w:rPr>
                <w:szCs w:val="16"/>
              </w:rPr>
              <w:t>With his or her family</w:t>
            </w:r>
          </w:p>
        </w:tc>
        <w:tc>
          <w:tcPr>
            <w:tcW w:w="2126" w:type="dxa"/>
            <w:tcBorders>
              <w:left w:val="nil"/>
              <w:right w:val="nil"/>
            </w:tcBorders>
            <w:shd w:val="clear" w:color="auto" w:fill="auto"/>
            <w:vAlign w:val="center"/>
          </w:tcPr>
          <w:p w14:paraId="7ED8FB75"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18.57 (91.06)</w:t>
            </w:r>
          </w:p>
        </w:tc>
        <w:tc>
          <w:tcPr>
            <w:tcW w:w="1985" w:type="dxa"/>
            <w:tcBorders>
              <w:left w:val="nil"/>
              <w:right w:val="nil"/>
            </w:tcBorders>
            <w:shd w:val="clear" w:color="auto" w:fill="auto"/>
            <w:vAlign w:val="center"/>
          </w:tcPr>
          <w:p w14:paraId="6533AB0B"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19.52 (97)</w:t>
            </w:r>
          </w:p>
        </w:tc>
      </w:tr>
      <w:tr w:rsidR="00FB785E" w:rsidRPr="004825BB" w14:paraId="1CEB771F" w14:textId="77777777" w:rsidTr="00FA5023">
        <w:tc>
          <w:tcPr>
            <w:tcW w:w="3685" w:type="dxa"/>
            <w:tcBorders>
              <w:left w:val="nil"/>
              <w:right w:val="nil"/>
            </w:tcBorders>
            <w:shd w:val="clear" w:color="auto" w:fill="auto"/>
            <w:vAlign w:val="center"/>
          </w:tcPr>
          <w:p w14:paraId="46A54335" w14:textId="77777777" w:rsidR="00FB785E" w:rsidRPr="004825BB" w:rsidRDefault="00FB785E" w:rsidP="00FA5023">
            <w:pPr>
              <w:autoSpaceDE w:val="0"/>
              <w:autoSpaceDN w:val="0"/>
              <w:adjustRightInd w:val="0"/>
              <w:snapToGrid w:val="0"/>
              <w:spacing w:line="240" w:lineRule="auto"/>
              <w:jc w:val="center"/>
              <w:rPr>
                <w:szCs w:val="16"/>
              </w:rPr>
            </w:pPr>
            <w:r w:rsidRPr="004825BB">
              <w:rPr>
                <w:szCs w:val="16"/>
              </w:rPr>
              <w:t>In a nursing home</w:t>
            </w:r>
          </w:p>
        </w:tc>
        <w:tc>
          <w:tcPr>
            <w:tcW w:w="2126" w:type="dxa"/>
            <w:tcBorders>
              <w:left w:val="nil"/>
              <w:right w:val="nil"/>
            </w:tcBorders>
            <w:shd w:val="clear" w:color="auto" w:fill="auto"/>
            <w:vAlign w:val="center"/>
          </w:tcPr>
          <w:p w14:paraId="4D101BA6"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p>
        </w:tc>
        <w:tc>
          <w:tcPr>
            <w:tcW w:w="1985" w:type="dxa"/>
            <w:tcBorders>
              <w:left w:val="nil"/>
              <w:right w:val="nil"/>
            </w:tcBorders>
            <w:shd w:val="clear" w:color="auto" w:fill="auto"/>
            <w:vAlign w:val="center"/>
          </w:tcPr>
          <w:p w14:paraId="7E018F82"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20.00 (100)</w:t>
            </w:r>
          </w:p>
        </w:tc>
      </w:tr>
      <w:tr w:rsidR="00FB785E" w:rsidRPr="004825BB" w14:paraId="4EE59F82" w14:textId="77777777" w:rsidTr="00FA5023">
        <w:tc>
          <w:tcPr>
            <w:tcW w:w="3685" w:type="dxa"/>
            <w:tcBorders>
              <w:left w:val="nil"/>
              <w:right w:val="nil"/>
            </w:tcBorders>
            <w:shd w:val="clear" w:color="auto" w:fill="auto"/>
            <w:vAlign w:val="center"/>
          </w:tcPr>
          <w:p w14:paraId="1045B4B6" w14:textId="77777777" w:rsidR="00FB785E" w:rsidRPr="004825BB" w:rsidRDefault="00FB785E" w:rsidP="00FA5023">
            <w:pPr>
              <w:autoSpaceDE w:val="0"/>
              <w:autoSpaceDN w:val="0"/>
              <w:adjustRightInd w:val="0"/>
              <w:snapToGrid w:val="0"/>
              <w:spacing w:line="240" w:lineRule="auto"/>
              <w:jc w:val="center"/>
              <w:rPr>
                <w:szCs w:val="16"/>
              </w:rPr>
            </w:pPr>
            <w:r w:rsidRPr="004825BB">
              <w:rPr>
                <w:szCs w:val="16"/>
              </w:rPr>
              <w:t>With friends</w:t>
            </w:r>
          </w:p>
        </w:tc>
        <w:tc>
          <w:tcPr>
            <w:tcW w:w="2126" w:type="dxa"/>
            <w:tcBorders>
              <w:left w:val="nil"/>
              <w:right w:val="nil"/>
            </w:tcBorders>
            <w:shd w:val="clear" w:color="auto" w:fill="auto"/>
            <w:vAlign w:val="center"/>
          </w:tcPr>
          <w:p w14:paraId="5D32526D"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20.00 (100)</w:t>
            </w:r>
          </w:p>
        </w:tc>
        <w:tc>
          <w:tcPr>
            <w:tcW w:w="1985" w:type="dxa"/>
            <w:tcBorders>
              <w:left w:val="nil"/>
              <w:right w:val="nil"/>
            </w:tcBorders>
            <w:shd w:val="clear" w:color="auto" w:fill="auto"/>
            <w:vAlign w:val="center"/>
          </w:tcPr>
          <w:p w14:paraId="6E911528"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p>
        </w:tc>
      </w:tr>
      <w:tr w:rsidR="00FB785E" w:rsidRPr="004825BB" w14:paraId="4EADD513" w14:textId="77777777" w:rsidTr="00FA5023">
        <w:tc>
          <w:tcPr>
            <w:tcW w:w="3685" w:type="dxa"/>
            <w:tcBorders>
              <w:left w:val="nil"/>
              <w:bottom w:val="single" w:sz="4" w:space="0" w:color="auto"/>
              <w:right w:val="nil"/>
            </w:tcBorders>
            <w:shd w:val="clear" w:color="auto" w:fill="auto"/>
            <w:vAlign w:val="center"/>
          </w:tcPr>
          <w:p w14:paraId="5A25215B" w14:textId="77777777" w:rsidR="00FB785E" w:rsidRPr="004825BB" w:rsidRDefault="00043EA3" w:rsidP="00FA5023">
            <w:pPr>
              <w:autoSpaceDE w:val="0"/>
              <w:autoSpaceDN w:val="0"/>
              <w:adjustRightInd w:val="0"/>
              <w:snapToGrid w:val="0"/>
              <w:spacing w:line="240" w:lineRule="auto"/>
              <w:jc w:val="center"/>
              <w:rPr>
                <w:szCs w:val="16"/>
              </w:rPr>
            </w:pPr>
            <w:r w:rsidRPr="004825BB">
              <w:rPr>
                <w:i/>
                <w:szCs w:val="16"/>
              </w:rPr>
              <w:t>p</w:t>
            </w:r>
            <w:r w:rsidR="00FB785E" w:rsidRPr="004825BB">
              <w:rPr>
                <w:szCs w:val="16"/>
              </w:rPr>
              <w:t xml:space="preserve"> value</w:t>
            </w:r>
          </w:p>
        </w:tc>
        <w:tc>
          <w:tcPr>
            <w:tcW w:w="2126" w:type="dxa"/>
            <w:tcBorders>
              <w:left w:val="nil"/>
              <w:bottom w:val="single" w:sz="4" w:space="0" w:color="auto"/>
              <w:right w:val="nil"/>
            </w:tcBorders>
            <w:shd w:val="clear" w:color="auto" w:fill="auto"/>
            <w:vAlign w:val="center"/>
          </w:tcPr>
          <w:p w14:paraId="5D7D85CF" w14:textId="77777777" w:rsidR="00FB785E" w:rsidRPr="004825BB" w:rsidRDefault="00FB785E" w:rsidP="00FA5023">
            <w:pPr>
              <w:autoSpaceDE w:val="0"/>
              <w:autoSpaceDN w:val="0"/>
              <w:adjustRightInd w:val="0"/>
              <w:snapToGrid w:val="0"/>
              <w:spacing w:line="240" w:lineRule="auto"/>
              <w:jc w:val="center"/>
              <w:rPr>
                <w:rFonts w:eastAsia="Times New Roman"/>
                <w:b/>
                <w:szCs w:val="16"/>
              </w:rPr>
            </w:pPr>
            <w:r w:rsidRPr="004825BB">
              <w:rPr>
                <w:rFonts w:eastAsia="Times New Roman"/>
                <w:b/>
                <w:szCs w:val="16"/>
              </w:rPr>
              <w:t>0.007</w:t>
            </w:r>
          </w:p>
        </w:tc>
        <w:tc>
          <w:tcPr>
            <w:tcW w:w="1985" w:type="dxa"/>
            <w:tcBorders>
              <w:left w:val="nil"/>
              <w:bottom w:val="single" w:sz="4" w:space="0" w:color="auto"/>
              <w:right w:val="nil"/>
            </w:tcBorders>
            <w:shd w:val="clear" w:color="auto" w:fill="auto"/>
            <w:vAlign w:val="center"/>
          </w:tcPr>
          <w:p w14:paraId="338349AA" w14:textId="77777777" w:rsidR="00FB785E" w:rsidRPr="004825BB" w:rsidRDefault="00FB785E" w:rsidP="00FA5023">
            <w:pPr>
              <w:autoSpaceDE w:val="0"/>
              <w:autoSpaceDN w:val="0"/>
              <w:adjustRightInd w:val="0"/>
              <w:snapToGrid w:val="0"/>
              <w:spacing w:line="240" w:lineRule="auto"/>
              <w:jc w:val="center"/>
              <w:rPr>
                <w:rFonts w:eastAsia="Times New Roman"/>
                <w:b/>
                <w:szCs w:val="16"/>
              </w:rPr>
            </w:pPr>
            <w:r w:rsidRPr="004825BB">
              <w:rPr>
                <w:rFonts w:eastAsia="Times New Roman"/>
                <w:b/>
                <w:szCs w:val="16"/>
              </w:rPr>
              <w:t>0.000</w:t>
            </w:r>
          </w:p>
        </w:tc>
      </w:tr>
      <w:tr w:rsidR="00FB785E" w:rsidRPr="004825BB" w14:paraId="47E24535" w14:textId="77777777" w:rsidTr="00FA5023">
        <w:tc>
          <w:tcPr>
            <w:tcW w:w="3685" w:type="dxa"/>
            <w:tcBorders>
              <w:left w:val="nil"/>
              <w:bottom w:val="single" w:sz="4" w:space="0" w:color="auto"/>
              <w:right w:val="nil"/>
            </w:tcBorders>
            <w:shd w:val="clear" w:color="auto" w:fill="auto"/>
            <w:vAlign w:val="center"/>
          </w:tcPr>
          <w:p w14:paraId="7DD41D54" w14:textId="77777777" w:rsidR="00FB785E" w:rsidRPr="004825BB" w:rsidRDefault="00043EA3" w:rsidP="00FA5023">
            <w:pPr>
              <w:autoSpaceDE w:val="0"/>
              <w:autoSpaceDN w:val="0"/>
              <w:adjustRightInd w:val="0"/>
              <w:snapToGrid w:val="0"/>
              <w:spacing w:line="240" w:lineRule="auto"/>
              <w:jc w:val="center"/>
              <w:rPr>
                <w:szCs w:val="16"/>
              </w:rPr>
            </w:pPr>
            <w:r w:rsidRPr="004825BB">
              <w:rPr>
                <w:i/>
                <w:szCs w:val="16"/>
              </w:rPr>
              <w:t>p</w:t>
            </w:r>
            <w:r w:rsidR="00FB785E" w:rsidRPr="004825BB">
              <w:rPr>
                <w:szCs w:val="16"/>
              </w:rPr>
              <w:t xml:space="preserve"> value</w:t>
            </w:r>
            <w:r w:rsidR="00180CA5" w:rsidRPr="004825BB">
              <w:rPr>
                <w:szCs w:val="16"/>
              </w:rPr>
              <w:t xml:space="preserve"> </w:t>
            </w:r>
            <w:r w:rsidR="00FB785E" w:rsidRPr="004825BB">
              <w:rPr>
                <w:szCs w:val="16"/>
              </w:rPr>
              <w:t>*</w:t>
            </w:r>
          </w:p>
        </w:tc>
        <w:tc>
          <w:tcPr>
            <w:tcW w:w="4111" w:type="dxa"/>
            <w:gridSpan w:val="2"/>
            <w:tcBorders>
              <w:left w:val="nil"/>
              <w:bottom w:val="single" w:sz="4" w:space="0" w:color="auto"/>
              <w:right w:val="nil"/>
            </w:tcBorders>
            <w:shd w:val="clear" w:color="auto" w:fill="auto"/>
            <w:vAlign w:val="center"/>
          </w:tcPr>
          <w:p w14:paraId="4D762124"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0.442</w:t>
            </w:r>
          </w:p>
        </w:tc>
      </w:tr>
      <w:tr w:rsidR="00FB785E" w:rsidRPr="004825BB" w14:paraId="06EB1851" w14:textId="77777777" w:rsidTr="00FA5023">
        <w:tc>
          <w:tcPr>
            <w:tcW w:w="3685" w:type="dxa"/>
            <w:tcBorders>
              <w:top w:val="single" w:sz="4" w:space="0" w:color="auto"/>
              <w:left w:val="nil"/>
              <w:bottom w:val="single" w:sz="4" w:space="0" w:color="auto"/>
              <w:right w:val="nil"/>
            </w:tcBorders>
            <w:shd w:val="clear" w:color="auto" w:fill="auto"/>
            <w:vAlign w:val="center"/>
          </w:tcPr>
          <w:p w14:paraId="4E85E802" w14:textId="77777777" w:rsidR="00FB785E" w:rsidRPr="004825BB" w:rsidRDefault="00FB785E" w:rsidP="00FA5023">
            <w:pPr>
              <w:autoSpaceDE w:val="0"/>
              <w:autoSpaceDN w:val="0"/>
              <w:adjustRightInd w:val="0"/>
              <w:snapToGrid w:val="0"/>
              <w:spacing w:line="240" w:lineRule="auto"/>
              <w:jc w:val="center"/>
              <w:rPr>
                <w:szCs w:val="16"/>
              </w:rPr>
            </w:pPr>
            <w:r w:rsidRPr="004825BB">
              <w:rPr>
                <w:szCs w:val="16"/>
              </w:rPr>
              <w:t>Situation</w:t>
            </w:r>
          </w:p>
        </w:tc>
        <w:tc>
          <w:tcPr>
            <w:tcW w:w="2126" w:type="dxa"/>
            <w:tcBorders>
              <w:top w:val="single" w:sz="4" w:space="0" w:color="auto"/>
              <w:left w:val="nil"/>
              <w:bottom w:val="single" w:sz="4" w:space="0" w:color="auto"/>
              <w:right w:val="nil"/>
            </w:tcBorders>
            <w:shd w:val="clear" w:color="auto" w:fill="auto"/>
            <w:vAlign w:val="center"/>
          </w:tcPr>
          <w:p w14:paraId="022261D5"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p>
        </w:tc>
        <w:tc>
          <w:tcPr>
            <w:tcW w:w="1985" w:type="dxa"/>
            <w:tcBorders>
              <w:top w:val="single" w:sz="4" w:space="0" w:color="auto"/>
              <w:left w:val="nil"/>
              <w:bottom w:val="single" w:sz="4" w:space="0" w:color="auto"/>
              <w:right w:val="nil"/>
            </w:tcBorders>
            <w:shd w:val="clear" w:color="auto" w:fill="auto"/>
            <w:vAlign w:val="center"/>
          </w:tcPr>
          <w:p w14:paraId="7C0FD854"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p>
        </w:tc>
      </w:tr>
      <w:tr w:rsidR="00FB785E" w:rsidRPr="004825BB" w14:paraId="11173867" w14:textId="77777777" w:rsidTr="00FA5023">
        <w:tc>
          <w:tcPr>
            <w:tcW w:w="3685" w:type="dxa"/>
            <w:tcBorders>
              <w:top w:val="single" w:sz="4" w:space="0" w:color="auto"/>
              <w:left w:val="nil"/>
              <w:right w:val="nil"/>
            </w:tcBorders>
            <w:shd w:val="clear" w:color="auto" w:fill="auto"/>
            <w:vAlign w:val="center"/>
          </w:tcPr>
          <w:p w14:paraId="041080F8" w14:textId="77777777" w:rsidR="00FB785E" w:rsidRPr="004825BB" w:rsidRDefault="00FB785E" w:rsidP="00FA5023">
            <w:pPr>
              <w:autoSpaceDE w:val="0"/>
              <w:autoSpaceDN w:val="0"/>
              <w:adjustRightInd w:val="0"/>
              <w:snapToGrid w:val="0"/>
              <w:spacing w:line="240" w:lineRule="auto"/>
              <w:jc w:val="center"/>
              <w:rPr>
                <w:szCs w:val="16"/>
              </w:rPr>
            </w:pPr>
            <w:r w:rsidRPr="004825BB">
              <w:rPr>
                <w:szCs w:val="16"/>
              </w:rPr>
              <w:t>Keep on treatment</w:t>
            </w:r>
          </w:p>
        </w:tc>
        <w:tc>
          <w:tcPr>
            <w:tcW w:w="2126" w:type="dxa"/>
            <w:tcBorders>
              <w:top w:val="single" w:sz="4" w:space="0" w:color="auto"/>
              <w:left w:val="nil"/>
              <w:right w:val="nil"/>
            </w:tcBorders>
            <w:shd w:val="clear" w:color="auto" w:fill="auto"/>
            <w:vAlign w:val="center"/>
          </w:tcPr>
          <w:p w14:paraId="08305DA6"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18.18 (88.63)</w:t>
            </w:r>
          </w:p>
        </w:tc>
        <w:tc>
          <w:tcPr>
            <w:tcW w:w="1985" w:type="dxa"/>
            <w:tcBorders>
              <w:top w:val="single" w:sz="4" w:space="0" w:color="auto"/>
              <w:left w:val="nil"/>
              <w:right w:val="nil"/>
            </w:tcBorders>
            <w:shd w:val="clear" w:color="auto" w:fill="auto"/>
            <w:vAlign w:val="center"/>
          </w:tcPr>
          <w:p w14:paraId="42855B95"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18.80 (92.5)</w:t>
            </w:r>
          </w:p>
        </w:tc>
      </w:tr>
      <w:tr w:rsidR="00FB785E" w:rsidRPr="004825BB" w14:paraId="34818BBC" w14:textId="77777777" w:rsidTr="00FA5023">
        <w:tc>
          <w:tcPr>
            <w:tcW w:w="3685" w:type="dxa"/>
            <w:tcBorders>
              <w:left w:val="nil"/>
              <w:right w:val="nil"/>
            </w:tcBorders>
            <w:shd w:val="clear" w:color="auto" w:fill="auto"/>
            <w:vAlign w:val="center"/>
          </w:tcPr>
          <w:p w14:paraId="42DB6FA8" w14:textId="77777777" w:rsidR="00FB785E" w:rsidRPr="004825BB" w:rsidRDefault="00FB785E" w:rsidP="00FA5023">
            <w:pPr>
              <w:autoSpaceDE w:val="0"/>
              <w:autoSpaceDN w:val="0"/>
              <w:adjustRightInd w:val="0"/>
              <w:snapToGrid w:val="0"/>
              <w:spacing w:line="240" w:lineRule="auto"/>
              <w:jc w:val="center"/>
              <w:rPr>
                <w:szCs w:val="16"/>
              </w:rPr>
            </w:pPr>
            <w:r w:rsidRPr="004825BB">
              <w:rPr>
                <w:szCs w:val="16"/>
              </w:rPr>
              <w:lastRenderedPageBreak/>
              <w:t>Keep on visiting, with no need of treatment</w:t>
            </w:r>
          </w:p>
        </w:tc>
        <w:tc>
          <w:tcPr>
            <w:tcW w:w="2126" w:type="dxa"/>
            <w:tcBorders>
              <w:left w:val="nil"/>
              <w:right w:val="nil"/>
            </w:tcBorders>
            <w:shd w:val="clear" w:color="auto" w:fill="auto"/>
            <w:vAlign w:val="center"/>
          </w:tcPr>
          <w:p w14:paraId="77574842" w14:textId="77777777" w:rsidR="00FB785E" w:rsidRPr="004825BB" w:rsidRDefault="00FB785E" w:rsidP="00FA5023">
            <w:pPr>
              <w:autoSpaceDE w:val="0"/>
              <w:autoSpaceDN w:val="0"/>
              <w:adjustRightInd w:val="0"/>
              <w:snapToGrid w:val="0"/>
              <w:spacing w:line="240" w:lineRule="auto"/>
              <w:jc w:val="center"/>
              <w:rPr>
                <w:szCs w:val="16"/>
              </w:rPr>
            </w:pPr>
            <w:r w:rsidRPr="004825BB">
              <w:rPr>
                <w:rFonts w:eastAsia="Times New Roman"/>
                <w:szCs w:val="16"/>
              </w:rPr>
              <w:t>17.12 (82)</w:t>
            </w:r>
          </w:p>
        </w:tc>
        <w:tc>
          <w:tcPr>
            <w:tcW w:w="1985" w:type="dxa"/>
            <w:tcBorders>
              <w:left w:val="nil"/>
              <w:right w:val="nil"/>
            </w:tcBorders>
            <w:shd w:val="clear" w:color="auto" w:fill="auto"/>
            <w:vAlign w:val="center"/>
          </w:tcPr>
          <w:p w14:paraId="6A7C1013" w14:textId="77777777" w:rsidR="00FB785E" w:rsidRPr="004825BB" w:rsidRDefault="00FB785E" w:rsidP="00FA5023">
            <w:pPr>
              <w:autoSpaceDE w:val="0"/>
              <w:autoSpaceDN w:val="0"/>
              <w:adjustRightInd w:val="0"/>
              <w:snapToGrid w:val="0"/>
              <w:spacing w:line="240" w:lineRule="auto"/>
              <w:jc w:val="center"/>
              <w:rPr>
                <w:szCs w:val="16"/>
              </w:rPr>
            </w:pPr>
            <w:r w:rsidRPr="004825BB">
              <w:rPr>
                <w:rFonts w:eastAsia="Times New Roman"/>
                <w:szCs w:val="16"/>
              </w:rPr>
              <w:t>18.50 (90.63)</w:t>
            </w:r>
          </w:p>
        </w:tc>
      </w:tr>
      <w:tr w:rsidR="00FB785E" w:rsidRPr="004825BB" w14:paraId="3BCF7218" w14:textId="77777777" w:rsidTr="00FA5023">
        <w:tc>
          <w:tcPr>
            <w:tcW w:w="3685" w:type="dxa"/>
            <w:tcBorders>
              <w:left w:val="nil"/>
              <w:bottom w:val="single" w:sz="4" w:space="0" w:color="auto"/>
              <w:right w:val="nil"/>
            </w:tcBorders>
            <w:shd w:val="clear" w:color="auto" w:fill="auto"/>
            <w:vAlign w:val="center"/>
          </w:tcPr>
          <w:p w14:paraId="68DA752D" w14:textId="77777777" w:rsidR="00FB785E" w:rsidRPr="004825BB" w:rsidRDefault="00FB785E" w:rsidP="00FA5023">
            <w:pPr>
              <w:autoSpaceDE w:val="0"/>
              <w:autoSpaceDN w:val="0"/>
              <w:adjustRightInd w:val="0"/>
              <w:snapToGrid w:val="0"/>
              <w:spacing w:line="240" w:lineRule="auto"/>
              <w:jc w:val="center"/>
              <w:rPr>
                <w:szCs w:val="16"/>
              </w:rPr>
            </w:pPr>
            <w:r w:rsidRPr="004825BB">
              <w:rPr>
                <w:szCs w:val="16"/>
              </w:rPr>
              <w:t>Keep on visiting, without treatment</w:t>
            </w:r>
          </w:p>
        </w:tc>
        <w:tc>
          <w:tcPr>
            <w:tcW w:w="2126" w:type="dxa"/>
            <w:tcBorders>
              <w:left w:val="nil"/>
              <w:bottom w:val="single" w:sz="4" w:space="0" w:color="auto"/>
              <w:right w:val="nil"/>
            </w:tcBorders>
            <w:shd w:val="clear" w:color="auto" w:fill="auto"/>
            <w:vAlign w:val="center"/>
          </w:tcPr>
          <w:p w14:paraId="1FCE1CEF"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14.75 (67.19)</w:t>
            </w:r>
          </w:p>
        </w:tc>
        <w:tc>
          <w:tcPr>
            <w:tcW w:w="1985" w:type="dxa"/>
            <w:tcBorders>
              <w:left w:val="nil"/>
              <w:bottom w:val="single" w:sz="4" w:space="0" w:color="auto"/>
              <w:right w:val="nil"/>
            </w:tcBorders>
            <w:shd w:val="clear" w:color="auto" w:fill="auto"/>
            <w:vAlign w:val="center"/>
          </w:tcPr>
          <w:p w14:paraId="4138D1A5"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15.25 (70.32)</w:t>
            </w:r>
          </w:p>
        </w:tc>
      </w:tr>
      <w:tr w:rsidR="00FB785E" w:rsidRPr="004825BB" w14:paraId="1B6805A9" w14:textId="77777777" w:rsidTr="00FA5023">
        <w:tc>
          <w:tcPr>
            <w:tcW w:w="3685" w:type="dxa"/>
            <w:tcBorders>
              <w:left w:val="nil"/>
              <w:bottom w:val="single" w:sz="4" w:space="0" w:color="auto"/>
              <w:right w:val="nil"/>
            </w:tcBorders>
            <w:shd w:val="clear" w:color="auto" w:fill="auto"/>
            <w:vAlign w:val="center"/>
          </w:tcPr>
          <w:p w14:paraId="2058E3AE" w14:textId="77777777" w:rsidR="00FB785E" w:rsidRPr="004825BB" w:rsidRDefault="00043EA3" w:rsidP="00FA5023">
            <w:pPr>
              <w:autoSpaceDE w:val="0"/>
              <w:autoSpaceDN w:val="0"/>
              <w:adjustRightInd w:val="0"/>
              <w:snapToGrid w:val="0"/>
              <w:spacing w:line="240" w:lineRule="auto"/>
              <w:jc w:val="center"/>
              <w:rPr>
                <w:szCs w:val="16"/>
              </w:rPr>
            </w:pPr>
            <w:r w:rsidRPr="004825BB">
              <w:rPr>
                <w:i/>
                <w:szCs w:val="16"/>
              </w:rPr>
              <w:t>p</w:t>
            </w:r>
            <w:r w:rsidR="00FB785E" w:rsidRPr="004825BB">
              <w:rPr>
                <w:szCs w:val="16"/>
              </w:rPr>
              <w:t xml:space="preserve"> value</w:t>
            </w:r>
          </w:p>
        </w:tc>
        <w:tc>
          <w:tcPr>
            <w:tcW w:w="2126" w:type="dxa"/>
            <w:tcBorders>
              <w:left w:val="nil"/>
              <w:bottom w:val="single" w:sz="4" w:space="0" w:color="auto"/>
              <w:right w:val="nil"/>
            </w:tcBorders>
            <w:shd w:val="clear" w:color="auto" w:fill="auto"/>
            <w:vAlign w:val="center"/>
          </w:tcPr>
          <w:p w14:paraId="0D233F57" w14:textId="77777777" w:rsidR="00FB785E" w:rsidRPr="004825BB" w:rsidRDefault="00FB785E" w:rsidP="00FA5023">
            <w:pPr>
              <w:autoSpaceDE w:val="0"/>
              <w:autoSpaceDN w:val="0"/>
              <w:adjustRightInd w:val="0"/>
              <w:snapToGrid w:val="0"/>
              <w:spacing w:line="240" w:lineRule="auto"/>
              <w:jc w:val="center"/>
              <w:rPr>
                <w:rFonts w:eastAsia="Times New Roman"/>
                <w:b/>
                <w:szCs w:val="16"/>
              </w:rPr>
            </w:pPr>
            <w:r w:rsidRPr="004825BB">
              <w:rPr>
                <w:rFonts w:eastAsia="Times New Roman"/>
                <w:b/>
                <w:szCs w:val="16"/>
              </w:rPr>
              <w:t>0.049</w:t>
            </w:r>
          </w:p>
        </w:tc>
        <w:tc>
          <w:tcPr>
            <w:tcW w:w="1985" w:type="dxa"/>
            <w:tcBorders>
              <w:left w:val="nil"/>
              <w:bottom w:val="single" w:sz="4" w:space="0" w:color="auto"/>
              <w:right w:val="nil"/>
            </w:tcBorders>
            <w:shd w:val="clear" w:color="auto" w:fill="auto"/>
            <w:vAlign w:val="center"/>
          </w:tcPr>
          <w:p w14:paraId="1C4197C4"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0.067</w:t>
            </w:r>
          </w:p>
        </w:tc>
      </w:tr>
      <w:tr w:rsidR="00FB785E" w:rsidRPr="004825BB" w14:paraId="3EB310E3" w14:textId="77777777" w:rsidTr="00FA5023">
        <w:tc>
          <w:tcPr>
            <w:tcW w:w="3685" w:type="dxa"/>
            <w:tcBorders>
              <w:top w:val="single" w:sz="4" w:space="0" w:color="auto"/>
              <w:left w:val="nil"/>
              <w:bottom w:val="single" w:sz="4" w:space="0" w:color="auto"/>
              <w:right w:val="nil"/>
            </w:tcBorders>
            <w:shd w:val="clear" w:color="auto" w:fill="auto"/>
            <w:vAlign w:val="center"/>
          </w:tcPr>
          <w:p w14:paraId="00ADD481" w14:textId="77777777" w:rsidR="00FB785E" w:rsidRPr="004825BB" w:rsidRDefault="00043EA3" w:rsidP="00FA5023">
            <w:pPr>
              <w:autoSpaceDE w:val="0"/>
              <w:autoSpaceDN w:val="0"/>
              <w:adjustRightInd w:val="0"/>
              <w:snapToGrid w:val="0"/>
              <w:spacing w:line="240" w:lineRule="auto"/>
              <w:jc w:val="center"/>
              <w:rPr>
                <w:szCs w:val="16"/>
              </w:rPr>
            </w:pPr>
            <w:r w:rsidRPr="004825BB">
              <w:rPr>
                <w:i/>
                <w:szCs w:val="16"/>
              </w:rPr>
              <w:t>p</w:t>
            </w:r>
            <w:r w:rsidR="00FB785E" w:rsidRPr="004825BB">
              <w:rPr>
                <w:szCs w:val="16"/>
              </w:rPr>
              <w:t xml:space="preserve"> value</w:t>
            </w:r>
            <w:r w:rsidR="00180CA5" w:rsidRPr="004825BB">
              <w:rPr>
                <w:szCs w:val="16"/>
              </w:rPr>
              <w:t xml:space="preserve"> </w:t>
            </w:r>
            <w:r w:rsidR="00FB785E" w:rsidRPr="004825BB">
              <w:rPr>
                <w:szCs w:val="16"/>
              </w:rPr>
              <w:t>*</w:t>
            </w:r>
          </w:p>
        </w:tc>
        <w:tc>
          <w:tcPr>
            <w:tcW w:w="4111" w:type="dxa"/>
            <w:gridSpan w:val="2"/>
            <w:tcBorders>
              <w:top w:val="single" w:sz="4" w:space="0" w:color="auto"/>
              <w:left w:val="nil"/>
              <w:bottom w:val="single" w:sz="4" w:space="0" w:color="auto"/>
              <w:right w:val="nil"/>
            </w:tcBorders>
            <w:shd w:val="clear" w:color="auto" w:fill="auto"/>
            <w:vAlign w:val="center"/>
          </w:tcPr>
          <w:p w14:paraId="27BDFD81"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0.791</w:t>
            </w:r>
          </w:p>
        </w:tc>
      </w:tr>
      <w:tr w:rsidR="00FB785E" w:rsidRPr="004825BB" w14:paraId="25D291E3" w14:textId="77777777" w:rsidTr="00FA5023">
        <w:tc>
          <w:tcPr>
            <w:tcW w:w="3685" w:type="dxa"/>
            <w:tcBorders>
              <w:top w:val="single" w:sz="4" w:space="0" w:color="auto"/>
              <w:left w:val="nil"/>
              <w:right w:val="nil"/>
            </w:tcBorders>
            <w:shd w:val="clear" w:color="auto" w:fill="auto"/>
            <w:vAlign w:val="center"/>
          </w:tcPr>
          <w:p w14:paraId="769B9D54" w14:textId="77777777" w:rsidR="00FB785E" w:rsidRPr="004825BB" w:rsidRDefault="00FB785E" w:rsidP="00FA5023">
            <w:pPr>
              <w:autoSpaceDE w:val="0"/>
              <w:autoSpaceDN w:val="0"/>
              <w:adjustRightInd w:val="0"/>
              <w:snapToGrid w:val="0"/>
              <w:spacing w:line="240" w:lineRule="auto"/>
              <w:jc w:val="center"/>
              <w:rPr>
                <w:szCs w:val="16"/>
              </w:rPr>
            </w:pPr>
            <w:r w:rsidRPr="004825BB">
              <w:rPr>
                <w:szCs w:val="16"/>
              </w:rPr>
              <w:t>Receive treatment</w:t>
            </w:r>
          </w:p>
        </w:tc>
        <w:tc>
          <w:tcPr>
            <w:tcW w:w="2126" w:type="dxa"/>
            <w:tcBorders>
              <w:top w:val="single" w:sz="4" w:space="0" w:color="auto"/>
              <w:left w:val="nil"/>
              <w:right w:val="nil"/>
            </w:tcBorders>
            <w:shd w:val="clear" w:color="auto" w:fill="auto"/>
            <w:vAlign w:val="center"/>
          </w:tcPr>
          <w:p w14:paraId="4AEFA556"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p>
        </w:tc>
        <w:tc>
          <w:tcPr>
            <w:tcW w:w="1985" w:type="dxa"/>
            <w:tcBorders>
              <w:top w:val="single" w:sz="4" w:space="0" w:color="auto"/>
              <w:left w:val="nil"/>
              <w:right w:val="nil"/>
            </w:tcBorders>
            <w:shd w:val="clear" w:color="auto" w:fill="auto"/>
            <w:vAlign w:val="center"/>
          </w:tcPr>
          <w:p w14:paraId="66A6BDF7"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p>
        </w:tc>
      </w:tr>
      <w:tr w:rsidR="00FB785E" w:rsidRPr="004825BB" w14:paraId="6977F29C" w14:textId="77777777" w:rsidTr="00FA5023">
        <w:tc>
          <w:tcPr>
            <w:tcW w:w="3685" w:type="dxa"/>
            <w:tcBorders>
              <w:top w:val="single" w:sz="4" w:space="0" w:color="auto"/>
              <w:left w:val="nil"/>
              <w:right w:val="nil"/>
            </w:tcBorders>
            <w:shd w:val="clear" w:color="auto" w:fill="auto"/>
            <w:vAlign w:val="center"/>
          </w:tcPr>
          <w:p w14:paraId="1A336D2F" w14:textId="77777777" w:rsidR="00FB785E" w:rsidRPr="004825BB" w:rsidRDefault="00FB785E" w:rsidP="00FA5023">
            <w:pPr>
              <w:autoSpaceDE w:val="0"/>
              <w:autoSpaceDN w:val="0"/>
              <w:adjustRightInd w:val="0"/>
              <w:snapToGrid w:val="0"/>
              <w:spacing w:line="240" w:lineRule="auto"/>
              <w:jc w:val="center"/>
              <w:rPr>
                <w:szCs w:val="16"/>
              </w:rPr>
            </w:pPr>
            <w:r w:rsidRPr="004825BB">
              <w:rPr>
                <w:szCs w:val="16"/>
              </w:rPr>
              <w:t>One eye</w:t>
            </w:r>
          </w:p>
        </w:tc>
        <w:tc>
          <w:tcPr>
            <w:tcW w:w="2126" w:type="dxa"/>
            <w:tcBorders>
              <w:top w:val="single" w:sz="4" w:space="0" w:color="auto"/>
              <w:left w:val="nil"/>
              <w:bottom w:val="single" w:sz="4" w:space="0" w:color="auto"/>
              <w:right w:val="nil"/>
            </w:tcBorders>
            <w:shd w:val="clear" w:color="auto" w:fill="auto"/>
            <w:vAlign w:val="center"/>
          </w:tcPr>
          <w:p w14:paraId="41F074FF"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szCs w:val="16"/>
              </w:rPr>
              <w:t>17.95 (87.18)</w:t>
            </w:r>
          </w:p>
        </w:tc>
        <w:tc>
          <w:tcPr>
            <w:tcW w:w="1985" w:type="dxa"/>
            <w:tcBorders>
              <w:top w:val="single" w:sz="4" w:space="0" w:color="auto"/>
              <w:left w:val="nil"/>
              <w:right w:val="nil"/>
            </w:tcBorders>
            <w:shd w:val="clear" w:color="auto" w:fill="auto"/>
            <w:vAlign w:val="center"/>
          </w:tcPr>
          <w:p w14:paraId="40C53B12"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szCs w:val="16"/>
              </w:rPr>
              <w:t>17.94 (87.12)</w:t>
            </w:r>
          </w:p>
        </w:tc>
      </w:tr>
      <w:tr w:rsidR="00FB785E" w:rsidRPr="004825BB" w14:paraId="2E8A21B8" w14:textId="77777777" w:rsidTr="00FA5023">
        <w:tc>
          <w:tcPr>
            <w:tcW w:w="3685" w:type="dxa"/>
            <w:tcBorders>
              <w:top w:val="single" w:sz="4" w:space="0" w:color="auto"/>
              <w:left w:val="nil"/>
              <w:bottom w:val="single" w:sz="4" w:space="0" w:color="auto"/>
              <w:right w:val="nil"/>
            </w:tcBorders>
            <w:shd w:val="clear" w:color="auto" w:fill="auto"/>
            <w:vAlign w:val="center"/>
          </w:tcPr>
          <w:p w14:paraId="39A3390B" w14:textId="77777777" w:rsidR="00FB785E" w:rsidRPr="004825BB" w:rsidRDefault="00FB785E" w:rsidP="00FA5023">
            <w:pPr>
              <w:autoSpaceDE w:val="0"/>
              <w:autoSpaceDN w:val="0"/>
              <w:adjustRightInd w:val="0"/>
              <w:snapToGrid w:val="0"/>
              <w:spacing w:line="240" w:lineRule="auto"/>
              <w:jc w:val="center"/>
              <w:rPr>
                <w:szCs w:val="16"/>
              </w:rPr>
            </w:pPr>
            <w:r w:rsidRPr="004825BB">
              <w:rPr>
                <w:szCs w:val="16"/>
              </w:rPr>
              <w:t>Both eyes</w:t>
            </w:r>
          </w:p>
        </w:tc>
        <w:tc>
          <w:tcPr>
            <w:tcW w:w="2126" w:type="dxa"/>
            <w:tcBorders>
              <w:top w:val="single" w:sz="4" w:space="0" w:color="auto"/>
              <w:left w:val="nil"/>
              <w:bottom w:val="single" w:sz="4" w:space="0" w:color="auto"/>
              <w:right w:val="nil"/>
            </w:tcBorders>
            <w:shd w:val="clear" w:color="auto" w:fill="auto"/>
            <w:vAlign w:val="center"/>
          </w:tcPr>
          <w:p w14:paraId="45D023D4"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szCs w:val="16"/>
              </w:rPr>
              <w:t>17.85 (86.56)</w:t>
            </w:r>
          </w:p>
        </w:tc>
        <w:tc>
          <w:tcPr>
            <w:tcW w:w="1985" w:type="dxa"/>
            <w:tcBorders>
              <w:top w:val="single" w:sz="4" w:space="0" w:color="auto"/>
              <w:left w:val="nil"/>
              <w:bottom w:val="single" w:sz="4" w:space="0" w:color="auto"/>
              <w:right w:val="nil"/>
            </w:tcBorders>
            <w:shd w:val="clear" w:color="auto" w:fill="auto"/>
            <w:vAlign w:val="center"/>
          </w:tcPr>
          <w:p w14:paraId="5CFB44C5"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szCs w:val="16"/>
              </w:rPr>
              <w:t>19.12 (94.50)</w:t>
            </w:r>
          </w:p>
        </w:tc>
      </w:tr>
      <w:tr w:rsidR="00FB785E" w:rsidRPr="004825BB" w14:paraId="7FDDAE14" w14:textId="77777777" w:rsidTr="00FA5023">
        <w:tc>
          <w:tcPr>
            <w:tcW w:w="3685" w:type="dxa"/>
            <w:tcBorders>
              <w:top w:val="single" w:sz="4" w:space="0" w:color="auto"/>
              <w:left w:val="nil"/>
              <w:bottom w:val="single" w:sz="4" w:space="0" w:color="auto"/>
              <w:right w:val="nil"/>
            </w:tcBorders>
            <w:shd w:val="clear" w:color="auto" w:fill="auto"/>
            <w:vAlign w:val="center"/>
          </w:tcPr>
          <w:p w14:paraId="043C55C1" w14:textId="77777777" w:rsidR="00FB785E" w:rsidRPr="004825BB" w:rsidRDefault="00043EA3" w:rsidP="00FA5023">
            <w:pPr>
              <w:autoSpaceDE w:val="0"/>
              <w:autoSpaceDN w:val="0"/>
              <w:adjustRightInd w:val="0"/>
              <w:snapToGrid w:val="0"/>
              <w:spacing w:line="240" w:lineRule="auto"/>
              <w:jc w:val="center"/>
              <w:rPr>
                <w:szCs w:val="16"/>
              </w:rPr>
            </w:pPr>
            <w:r w:rsidRPr="004825BB">
              <w:rPr>
                <w:i/>
                <w:szCs w:val="16"/>
              </w:rPr>
              <w:t>p</w:t>
            </w:r>
            <w:r w:rsidR="00FB785E" w:rsidRPr="004825BB">
              <w:rPr>
                <w:szCs w:val="16"/>
              </w:rPr>
              <w:t xml:space="preserve"> value</w:t>
            </w:r>
          </w:p>
        </w:tc>
        <w:tc>
          <w:tcPr>
            <w:tcW w:w="2126" w:type="dxa"/>
            <w:tcBorders>
              <w:top w:val="single" w:sz="4" w:space="0" w:color="auto"/>
              <w:left w:val="nil"/>
              <w:bottom w:val="single" w:sz="4" w:space="0" w:color="auto"/>
              <w:right w:val="nil"/>
            </w:tcBorders>
            <w:shd w:val="clear" w:color="auto" w:fill="auto"/>
            <w:vAlign w:val="center"/>
          </w:tcPr>
          <w:p w14:paraId="19B292A6"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0.898</w:t>
            </w:r>
          </w:p>
        </w:tc>
        <w:tc>
          <w:tcPr>
            <w:tcW w:w="1985" w:type="dxa"/>
            <w:tcBorders>
              <w:top w:val="single" w:sz="4" w:space="0" w:color="auto"/>
              <w:left w:val="nil"/>
              <w:bottom w:val="single" w:sz="4" w:space="0" w:color="auto"/>
              <w:right w:val="nil"/>
            </w:tcBorders>
            <w:shd w:val="clear" w:color="auto" w:fill="auto"/>
            <w:vAlign w:val="center"/>
          </w:tcPr>
          <w:p w14:paraId="72B0B35B"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szCs w:val="16"/>
              </w:rPr>
              <w:t>0.166</w:t>
            </w:r>
          </w:p>
        </w:tc>
      </w:tr>
      <w:tr w:rsidR="00FB785E" w:rsidRPr="004825BB" w14:paraId="008294FB" w14:textId="77777777" w:rsidTr="00FA5023">
        <w:tc>
          <w:tcPr>
            <w:tcW w:w="3685" w:type="dxa"/>
            <w:tcBorders>
              <w:top w:val="single" w:sz="4" w:space="0" w:color="auto"/>
              <w:left w:val="nil"/>
              <w:bottom w:val="single" w:sz="4" w:space="0" w:color="auto"/>
              <w:right w:val="nil"/>
            </w:tcBorders>
            <w:shd w:val="clear" w:color="auto" w:fill="auto"/>
            <w:vAlign w:val="center"/>
          </w:tcPr>
          <w:p w14:paraId="766C3790" w14:textId="77777777" w:rsidR="00FB785E" w:rsidRPr="004825BB" w:rsidRDefault="00043EA3" w:rsidP="00FA5023">
            <w:pPr>
              <w:autoSpaceDE w:val="0"/>
              <w:autoSpaceDN w:val="0"/>
              <w:adjustRightInd w:val="0"/>
              <w:snapToGrid w:val="0"/>
              <w:spacing w:line="240" w:lineRule="auto"/>
              <w:jc w:val="center"/>
              <w:rPr>
                <w:szCs w:val="16"/>
              </w:rPr>
            </w:pPr>
            <w:r w:rsidRPr="004825BB">
              <w:rPr>
                <w:rFonts w:eastAsia="Times New Roman"/>
                <w:i/>
                <w:szCs w:val="16"/>
              </w:rPr>
              <w:t>p</w:t>
            </w:r>
            <w:r w:rsidR="00FB785E" w:rsidRPr="004825BB">
              <w:rPr>
                <w:rFonts w:eastAsia="Times New Roman"/>
                <w:szCs w:val="16"/>
              </w:rPr>
              <w:t xml:space="preserve"> value</w:t>
            </w:r>
            <w:r w:rsidR="00180CA5" w:rsidRPr="004825BB">
              <w:rPr>
                <w:rFonts w:eastAsia="Times New Roman"/>
                <w:szCs w:val="16"/>
              </w:rPr>
              <w:t xml:space="preserve"> </w:t>
            </w:r>
            <w:r w:rsidR="00FB785E" w:rsidRPr="004825BB">
              <w:rPr>
                <w:rFonts w:eastAsia="Times New Roman"/>
                <w:szCs w:val="16"/>
              </w:rPr>
              <w:t>*</w:t>
            </w:r>
          </w:p>
        </w:tc>
        <w:tc>
          <w:tcPr>
            <w:tcW w:w="4111" w:type="dxa"/>
            <w:gridSpan w:val="2"/>
            <w:tcBorders>
              <w:top w:val="single" w:sz="4" w:space="0" w:color="auto"/>
              <w:left w:val="nil"/>
              <w:bottom w:val="single" w:sz="4" w:space="0" w:color="auto"/>
              <w:right w:val="nil"/>
            </w:tcBorders>
            <w:shd w:val="clear" w:color="auto" w:fill="auto"/>
            <w:vAlign w:val="center"/>
          </w:tcPr>
          <w:p w14:paraId="309C8AB8" w14:textId="77777777" w:rsidR="00FB785E" w:rsidRPr="004825BB" w:rsidRDefault="00FB785E" w:rsidP="00FA5023">
            <w:pPr>
              <w:autoSpaceDE w:val="0"/>
              <w:autoSpaceDN w:val="0"/>
              <w:adjustRightInd w:val="0"/>
              <w:snapToGrid w:val="0"/>
              <w:spacing w:line="240" w:lineRule="auto"/>
              <w:jc w:val="center"/>
              <w:rPr>
                <w:rFonts w:eastAsia="Times New Roman"/>
                <w:b/>
                <w:szCs w:val="16"/>
              </w:rPr>
            </w:pPr>
            <w:r w:rsidRPr="004825BB">
              <w:rPr>
                <w:rFonts w:eastAsia="Times New Roman"/>
                <w:b/>
                <w:szCs w:val="16"/>
              </w:rPr>
              <w:t>0.007</w:t>
            </w:r>
          </w:p>
        </w:tc>
      </w:tr>
      <w:tr w:rsidR="00FB785E" w:rsidRPr="004825BB" w14:paraId="56331BB6" w14:textId="77777777" w:rsidTr="00FA5023">
        <w:tc>
          <w:tcPr>
            <w:tcW w:w="3685" w:type="dxa"/>
            <w:tcBorders>
              <w:top w:val="single" w:sz="4" w:space="0" w:color="auto"/>
              <w:left w:val="nil"/>
              <w:right w:val="nil"/>
            </w:tcBorders>
            <w:shd w:val="clear" w:color="auto" w:fill="auto"/>
            <w:vAlign w:val="center"/>
          </w:tcPr>
          <w:p w14:paraId="2C9A1662" w14:textId="77777777" w:rsidR="00FB785E" w:rsidRPr="004825BB" w:rsidRDefault="00FB785E" w:rsidP="00FA5023">
            <w:pPr>
              <w:autoSpaceDE w:val="0"/>
              <w:autoSpaceDN w:val="0"/>
              <w:adjustRightInd w:val="0"/>
              <w:snapToGrid w:val="0"/>
              <w:spacing w:line="240" w:lineRule="auto"/>
              <w:jc w:val="center"/>
              <w:rPr>
                <w:szCs w:val="16"/>
              </w:rPr>
            </w:pPr>
            <w:r w:rsidRPr="004825BB">
              <w:rPr>
                <w:szCs w:val="16"/>
              </w:rPr>
              <w:t>Bilateral BCVA</w:t>
            </w:r>
          </w:p>
        </w:tc>
        <w:tc>
          <w:tcPr>
            <w:tcW w:w="2126" w:type="dxa"/>
            <w:tcBorders>
              <w:top w:val="single" w:sz="4" w:space="0" w:color="auto"/>
              <w:left w:val="nil"/>
              <w:right w:val="nil"/>
            </w:tcBorders>
            <w:shd w:val="clear" w:color="auto" w:fill="auto"/>
            <w:vAlign w:val="center"/>
          </w:tcPr>
          <w:p w14:paraId="2E598618"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p>
        </w:tc>
        <w:tc>
          <w:tcPr>
            <w:tcW w:w="1985" w:type="dxa"/>
            <w:tcBorders>
              <w:top w:val="single" w:sz="4" w:space="0" w:color="auto"/>
              <w:left w:val="nil"/>
              <w:right w:val="nil"/>
            </w:tcBorders>
            <w:shd w:val="clear" w:color="auto" w:fill="auto"/>
            <w:vAlign w:val="center"/>
          </w:tcPr>
          <w:p w14:paraId="3B7A198D"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p>
        </w:tc>
      </w:tr>
      <w:tr w:rsidR="00FB785E" w:rsidRPr="004825BB" w14:paraId="5DD3ECD1" w14:textId="77777777" w:rsidTr="00FA5023">
        <w:tc>
          <w:tcPr>
            <w:tcW w:w="3685" w:type="dxa"/>
            <w:tcBorders>
              <w:left w:val="nil"/>
              <w:right w:val="nil"/>
            </w:tcBorders>
            <w:shd w:val="clear" w:color="auto" w:fill="auto"/>
            <w:vAlign w:val="center"/>
          </w:tcPr>
          <w:p w14:paraId="01BB036A"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szCs w:val="16"/>
              </w:rPr>
              <w:t xml:space="preserve">Q1 </w:t>
            </w:r>
            <w:r w:rsidR="00227CB7" w:rsidRPr="004825BB">
              <w:rPr>
                <w:szCs w:val="16"/>
              </w:rPr>
              <w:t>0–0</w:t>
            </w:r>
            <w:r w:rsidRPr="004825BB">
              <w:rPr>
                <w:szCs w:val="16"/>
              </w:rPr>
              <w:t>.1</w:t>
            </w:r>
          </w:p>
        </w:tc>
        <w:tc>
          <w:tcPr>
            <w:tcW w:w="2126" w:type="dxa"/>
            <w:tcBorders>
              <w:left w:val="nil"/>
              <w:right w:val="nil"/>
            </w:tcBorders>
            <w:shd w:val="clear" w:color="auto" w:fill="auto"/>
            <w:vAlign w:val="center"/>
          </w:tcPr>
          <w:p w14:paraId="7E7EBB5E"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18.00 (87.50)</w:t>
            </w:r>
          </w:p>
        </w:tc>
        <w:tc>
          <w:tcPr>
            <w:tcW w:w="1985" w:type="dxa"/>
            <w:tcBorders>
              <w:left w:val="nil"/>
              <w:right w:val="nil"/>
            </w:tcBorders>
            <w:shd w:val="clear" w:color="auto" w:fill="auto"/>
            <w:vAlign w:val="center"/>
          </w:tcPr>
          <w:p w14:paraId="5EE6F864"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17.57 (84.82)</w:t>
            </w:r>
          </w:p>
        </w:tc>
      </w:tr>
      <w:tr w:rsidR="00FB785E" w:rsidRPr="004825BB" w14:paraId="6ABDE829" w14:textId="77777777" w:rsidTr="00FA5023">
        <w:tc>
          <w:tcPr>
            <w:tcW w:w="3685" w:type="dxa"/>
            <w:tcBorders>
              <w:left w:val="nil"/>
              <w:right w:val="nil"/>
            </w:tcBorders>
            <w:shd w:val="clear" w:color="auto" w:fill="auto"/>
            <w:vAlign w:val="center"/>
          </w:tcPr>
          <w:p w14:paraId="2630FB9F"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szCs w:val="16"/>
              </w:rPr>
              <w:t>Q2 0.2</w:t>
            </w:r>
          </w:p>
        </w:tc>
        <w:tc>
          <w:tcPr>
            <w:tcW w:w="2126" w:type="dxa"/>
            <w:tcBorders>
              <w:left w:val="nil"/>
              <w:right w:val="nil"/>
            </w:tcBorders>
            <w:shd w:val="clear" w:color="auto" w:fill="auto"/>
            <w:vAlign w:val="center"/>
          </w:tcPr>
          <w:p w14:paraId="4031D99B"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18.29 (89.31)</w:t>
            </w:r>
          </w:p>
        </w:tc>
        <w:tc>
          <w:tcPr>
            <w:tcW w:w="1985" w:type="dxa"/>
            <w:tcBorders>
              <w:left w:val="nil"/>
              <w:right w:val="nil"/>
            </w:tcBorders>
            <w:shd w:val="clear" w:color="auto" w:fill="auto"/>
            <w:vAlign w:val="center"/>
          </w:tcPr>
          <w:p w14:paraId="5375D6CA"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17.33 (83.32)</w:t>
            </w:r>
          </w:p>
        </w:tc>
      </w:tr>
      <w:tr w:rsidR="00FB785E" w:rsidRPr="004825BB" w14:paraId="0CB2AD1C" w14:textId="77777777" w:rsidTr="00FA5023">
        <w:tc>
          <w:tcPr>
            <w:tcW w:w="3685" w:type="dxa"/>
            <w:tcBorders>
              <w:left w:val="nil"/>
              <w:right w:val="nil"/>
            </w:tcBorders>
            <w:shd w:val="clear" w:color="auto" w:fill="auto"/>
            <w:vAlign w:val="center"/>
          </w:tcPr>
          <w:p w14:paraId="12805280"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szCs w:val="16"/>
              </w:rPr>
              <w:t>Q3 0.</w:t>
            </w:r>
            <w:r w:rsidR="00227CB7" w:rsidRPr="004825BB">
              <w:rPr>
                <w:szCs w:val="16"/>
              </w:rPr>
              <w:t>3–0</w:t>
            </w:r>
            <w:r w:rsidRPr="004825BB">
              <w:rPr>
                <w:szCs w:val="16"/>
              </w:rPr>
              <w:t>.4</w:t>
            </w:r>
          </w:p>
        </w:tc>
        <w:tc>
          <w:tcPr>
            <w:tcW w:w="2126" w:type="dxa"/>
            <w:tcBorders>
              <w:left w:val="nil"/>
              <w:right w:val="nil"/>
            </w:tcBorders>
            <w:shd w:val="clear" w:color="auto" w:fill="auto"/>
            <w:vAlign w:val="center"/>
          </w:tcPr>
          <w:p w14:paraId="5FE9B7AA"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18.33 (89.56)</w:t>
            </w:r>
          </w:p>
        </w:tc>
        <w:tc>
          <w:tcPr>
            <w:tcW w:w="1985" w:type="dxa"/>
            <w:tcBorders>
              <w:left w:val="nil"/>
              <w:right w:val="nil"/>
            </w:tcBorders>
            <w:shd w:val="clear" w:color="auto" w:fill="auto"/>
            <w:vAlign w:val="center"/>
          </w:tcPr>
          <w:p w14:paraId="2437D352"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19.62 (97.63)</w:t>
            </w:r>
          </w:p>
        </w:tc>
      </w:tr>
      <w:tr w:rsidR="00FB785E" w:rsidRPr="004825BB" w14:paraId="76E70BC0" w14:textId="77777777" w:rsidTr="00FA5023">
        <w:tc>
          <w:tcPr>
            <w:tcW w:w="3685" w:type="dxa"/>
            <w:tcBorders>
              <w:left w:val="nil"/>
              <w:right w:val="nil"/>
            </w:tcBorders>
            <w:shd w:val="clear" w:color="auto" w:fill="auto"/>
            <w:vAlign w:val="center"/>
          </w:tcPr>
          <w:p w14:paraId="3DA7C71D"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szCs w:val="16"/>
              </w:rPr>
              <w:t>Q4 0.</w:t>
            </w:r>
            <w:r w:rsidR="00227CB7" w:rsidRPr="004825BB">
              <w:rPr>
                <w:szCs w:val="16"/>
              </w:rPr>
              <w:t>5–1</w:t>
            </w:r>
            <w:r w:rsidRPr="004825BB">
              <w:rPr>
                <w:szCs w:val="16"/>
              </w:rPr>
              <w:t>.3</w:t>
            </w:r>
          </w:p>
        </w:tc>
        <w:tc>
          <w:tcPr>
            <w:tcW w:w="2126" w:type="dxa"/>
            <w:tcBorders>
              <w:left w:val="nil"/>
              <w:right w:val="nil"/>
            </w:tcBorders>
            <w:shd w:val="clear" w:color="auto" w:fill="auto"/>
            <w:vAlign w:val="center"/>
          </w:tcPr>
          <w:p w14:paraId="688E895C"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17.15 (82.19)</w:t>
            </w:r>
          </w:p>
        </w:tc>
        <w:tc>
          <w:tcPr>
            <w:tcW w:w="1985" w:type="dxa"/>
            <w:tcBorders>
              <w:left w:val="nil"/>
              <w:right w:val="nil"/>
            </w:tcBorders>
            <w:shd w:val="clear" w:color="auto" w:fill="auto"/>
            <w:vAlign w:val="center"/>
          </w:tcPr>
          <w:p w14:paraId="3F3888DB"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19.46 (97.63)</w:t>
            </w:r>
          </w:p>
        </w:tc>
      </w:tr>
      <w:tr w:rsidR="00FB785E" w:rsidRPr="004825BB" w14:paraId="37735F56" w14:textId="77777777" w:rsidTr="00FA5023">
        <w:tc>
          <w:tcPr>
            <w:tcW w:w="3685" w:type="dxa"/>
            <w:tcBorders>
              <w:left w:val="nil"/>
              <w:right w:val="nil"/>
            </w:tcBorders>
            <w:shd w:val="clear" w:color="auto" w:fill="auto"/>
            <w:vAlign w:val="center"/>
          </w:tcPr>
          <w:p w14:paraId="18BACEEC" w14:textId="77777777" w:rsidR="00FB785E" w:rsidRPr="004825BB" w:rsidRDefault="00043EA3" w:rsidP="00FA5023">
            <w:pPr>
              <w:autoSpaceDE w:val="0"/>
              <w:autoSpaceDN w:val="0"/>
              <w:adjustRightInd w:val="0"/>
              <w:snapToGrid w:val="0"/>
              <w:spacing w:line="240" w:lineRule="auto"/>
              <w:jc w:val="center"/>
              <w:rPr>
                <w:rFonts w:eastAsia="Times New Roman"/>
                <w:szCs w:val="16"/>
              </w:rPr>
            </w:pPr>
            <w:r w:rsidRPr="004825BB">
              <w:rPr>
                <w:rFonts w:eastAsia="Times New Roman"/>
                <w:i/>
                <w:szCs w:val="16"/>
              </w:rPr>
              <w:t>p</w:t>
            </w:r>
            <w:r w:rsidR="00FB785E" w:rsidRPr="004825BB">
              <w:rPr>
                <w:szCs w:val="16"/>
              </w:rPr>
              <w:t xml:space="preserve"> value</w:t>
            </w:r>
          </w:p>
        </w:tc>
        <w:tc>
          <w:tcPr>
            <w:tcW w:w="2126" w:type="dxa"/>
            <w:tcBorders>
              <w:left w:val="nil"/>
              <w:right w:val="nil"/>
            </w:tcBorders>
            <w:shd w:val="clear" w:color="auto" w:fill="auto"/>
            <w:vAlign w:val="center"/>
          </w:tcPr>
          <w:p w14:paraId="51A0E51D" w14:textId="77777777" w:rsidR="00FB785E" w:rsidRPr="004825BB" w:rsidRDefault="00FB785E" w:rsidP="00FA5023">
            <w:pPr>
              <w:autoSpaceDE w:val="0"/>
              <w:autoSpaceDN w:val="0"/>
              <w:adjustRightInd w:val="0"/>
              <w:snapToGrid w:val="0"/>
              <w:spacing w:line="240" w:lineRule="auto"/>
              <w:jc w:val="center"/>
              <w:rPr>
                <w:rFonts w:eastAsia="Times New Roman"/>
                <w:szCs w:val="16"/>
              </w:rPr>
            </w:pPr>
            <w:r w:rsidRPr="004825BB">
              <w:rPr>
                <w:rFonts w:eastAsia="Times New Roman"/>
                <w:szCs w:val="16"/>
              </w:rPr>
              <w:t>0.337</w:t>
            </w:r>
          </w:p>
        </w:tc>
        <w:tc>
          <w:tcPr>
            <w:tcW w:w="1985" w:type="dxa"/>
            <w:tcBorders>
              <w:left w:val="nil"/>
              <w:right w:val="nil"/>
            </w:tcBorders>
            <w:shd w:val="clear" w:color="auto" w:fill="auto"/>
            <w:vAlign w:val="center"/>
          </w:tcPr>
          <w:p w14:paraId="248257EA" w14:textId="77777777" w:rsidR="00FB785E" w:rsidRPr="004825BB" w:rsidRDefault="00FB785E" w:rsidP="00FA5023">
            <w:pPr>
              <w:autoSpaceDE w:val="0"/>
              <w:autoSpaceDN w:val="0"/>
              <w:adjustRightInd w:val="0"/>
              <w:snapToGrid w:val="0"/>
              <w:spacing w:line="240" w:lineRule="auto"/>
              <w:jc w:val="center"/>
              <w:rPr>
                <w:rFonts w:eastAsia="Times New Roman"/>
                <w:b/>
                <w:szCs w:val="16"/>
              </w:rPr>
            </w:pPr>
            <w:r w:rsidRPr="004825BB">
              <w:rPr>
                <w:rFonts w:eastAsia="Times New Roman"/>
                <w:b/>
                <w:szCs w:val="16"/>
              </w:rPr>
              <w:t>0.013</w:t>
            </w:r>
          </w:p>
        </w:tc>
      </w:tr>
      <w:tr w:rsidR="00FB785E" w:rsidRPr="004825BB" w14:paraId="0AA2589F" w14:textId="77777777" w:rsidTr="00FA5023">
        <w:tc>
          <w:tcPr>
            <w:tcW w:w="3685" w:type="dxa"/>
            <w:tcBorders>
              <w:left w:val="nil"/>
              <w:bottom w:val="single" w:sz="8" w:space="0" w:color="auto"/>
              <w:right w:val="nil"/>
            </w:tcBorders>
            <w:shd w:val="clear" w:color="auto" w:fill="auto"/>
            <w:vAlign w:val="center"/>
          </w:tcPr>
          <w:p w14:paraId="601D29FA" w14:textId="77777777" w:rsidR="00FB785E" w:rsidRPr="004825BB" w:rsidRDefault="00043EA3" w:rsidP="00FA5023">
            <w:pPr>
              <w:autoSpaceDE w:val="0"/>
              <w:autoSpaceDN w:val="0"/>
              <w:adjustRightInd w:val="0"/>
              <w:snapToGrid w:val="0"/>
              <w:spacing w:line="240" w:lineRule="auto"/>
              <w:jc w:val="center"/>
              <w:rPr>
                <w:rFonts w:eastAsia="Times New Roman"/>
                <w:szCs w:val="16"/>
              </w:rPr>
            </w:pPr>
            <w:r w:rsidRPr="004825BB">
              <w:rPr>
                <w:rFonts w:eastAsia="Times New Roman"/>
                <w:i/>
                <w:szCs w:val="16"/>
              </w:rPr>
              <w:t>p</w:t>
            </w:r>
            <w:r w:rsidR="00FB785E" w:rsidRPr="004825BB">
              <w:rPr>
                <w:rFonts w:eastAsia="Times New Roman"/>
                <w:szCs w:val="16"/>
              </w:rPr>
              <w:t xml:space="preserve"> value</w:t>
            </w:r>
            <w:r w:rsidR="00180CA5" w:rsidRPr="004825BB">
              <w:rPr>
                <w:rFonts w:eastAsia="Times New Roman"/>
                <w:szCs w:val="16"/>
              </w:rPr>
              <w:t xml:space="preserve"> </w:t>
            </w:r>
            <w:r w:rsidR="00FB785E" w:rsidRPr="004825BB">
              <w:rPr>
                <w:rFonts w:eastAsia="Times New Roman"/>
                <w:szCs w:val="16"/>
              </w:rPr>
              <w:t>*</w:t>
            </w:r>
          </w:p>
        </w:tc>
        <w:tc>
          <w:tcPr>
            <w:tcW w:w="4111" w:type="dxa"/>
            <w:gridSpan w:val="2"/>
            <w:tcBorders>
              <w:left w:val="nil"/>
              <w:bottom w:val="single" w:sz="8" w:space="0" w:color="auto"/>
              <w:right w:val="nil"/>
            </w:tcBorders>
            <w:shd w:val="clear" w:color="auto" w:fill="auto"/>
            <w:vAlign w:val="center"/>
          </w:tcPr>
          <w:p w14:paraId="59E03D73" w14:textId="77777777" w:rsidR="00FB785E" w:rsidRPr="004825BB" w:rsidRDefault="00FB785E" w:rsidP="00FA5023">
            <w:pPr>
              <w:autoSpaceDE w:val="0"/>
              <w:autoSpaceDN w:val="0"/>
              <w:adjustRightInd w:val="0"/>
              <w:snapToGrid w:val="0"/>
              <w:spacing w:line="240" w:lineRule="auto"/>
              <w:jc w:val="center"/>
              <w:rPr>
                <w:rFonts w:eastAsia="Times New Roman"/>
                <w:b/>
                <w:szCs w:val="16"/>
              </w:rPr>
            </w:pPr>
            <w:r w:rsidRPr="004825BB">
              <w:rPr>
                <w:rFonts w:eastAsia="Times New Roman"/>
                <w:b/>
                <w:szCs w:val="16"/>
              </w:rPr>
              <w:t>0.018</w:t>
            </w:r>
          </w:p>
        </w:tc>
      </w:tr>
    </w:tbl>
    <w:p w14:paraId="112E7833" w14:textId="77777777" w:rsidR="00FB785E" w:rsidRPr="004825BB" w:rsidRDefault="00FB785E" w:rsidP="00FA5023">
      <w:pPr>
        <w:pStyle w:val="MDPI43tablefooter"/>
        <w:spacing w:after="240"/>
      </w:pPr>
      <w:r w:rsidRPr="004825BB">
        <w:t xml:space="preserve">The maximum possible tangible subscale score is 20. Scale scores were transformed to a </w:t>
      </w:r>
      <w:r w:rsidR="00227CB7" w:rsidRPr="004825BB">
        <w:t>0–100</w:t>
      </w:r>
      <w:r w:rsidR="00B56D49">
        <w:t>-</w:t>
      </w:r>
      <w:r w:rsidRPr="004825BB">
        <w:t>scale tangible support index (shown in brackets). * Comparison between the mean scores and tangible support index and the demographic/clinical variables of the initial and final survey</w:t>
      </w:r>
      <w:r w:rsidR="00B56D49">
        <w:t>s</w:t>
      </w:r>
      <w:r w:rsidRPr="004825BB">
        <w:t>. BCVA: LogMAR best-corrected visual acuity. Bold denotes significant values.</w:t>
      </w:r>
    </w:p>
    <w:p w14:paraId="3EC5E4FD" w14:textId="77777777" w:rsidR="00FB785E" w:rsidRPr="004825BB" w:rsidRDefault="00FB785E" w:rsidP="00157D56">
      <w:pPr>
        <w:pStyle w:val="MDPI31text"/>
      </w:pPr>
      <w:r w:rsidRPr="004825BB">
        <w:t xml:space="preserve">Regarding the pandemic-related questions, 6 out of the 78 patients had experienced and recovered from coronavirus infection. Only 20 (25.6%) patients reported having delayed one of their appointments, and only 6 of them had delayed their appointments by more than 1 month (7.7%). In </w:t>
      </w:r>
      <w:r w:rsidR="006D5904">
        <w:t>five</w:t>
      </w:r>
      <w:r w:rsidRPr="004825BB">
        <w:t xml:space="preserve"> cases, delayed appointments were requested by the patient: one for being in quarantine and in </w:t>
      </w:r>
      <w:r w:rsidR="006A0C3F">
        <w:t>four</w:t>
      </w:r>
      <w:r w:rsidRPr="004825BB">
        <w:t xml:space="preserve"> cases because of problems getting to the hospital. Subjectively, most of the patients (85.9%) did not feel that their maculopathy had worsened from the beginning of the pandemic.</w:t>
      </w:r>
    </w:p>
    <w:p w14:paraId="48EE9B0C" w14:textId="77777777" w:rsidR="00FB785E" w:rsidRPr="004825BB" w:rsidRDefault="00157D56" w:rsidP="00157D56">
      <w:pPr>
        <w:pStyle w:val="MDPI21heading1"/>
      </w:pPr>
      <w:r w:rsidRPr="004825BB">
        <w:t xml:space="preserve">4. </w:t>
      </w:r>
      <w:r w:rsidR="00FB785E" w:rsidRPr="004825BB">
        <w:t>Discussion</w:t>
      </w:r>
    </w:p>
    <w:p w14:paraId="04BEECBC" w14:textId="77777777" w:rsidR="00FB785E" w:rsidRPr="004825BB" w:rsidRDefault="00FB785E" w:rsidP="00157D56">
      <w:pPr>
        <w:pStyle w:val="MDPI31text"/>
        <w:rPr>
          <w:color w:val="auto"/>
        </w:rPr>
      </w:pPr>
      <w:r w:rsidRPr="004825BB">
        <w:t xml:space="preserve">Here, </w:t>
      </w:r>
      <w:r w:rsidRPr="004825BB">
        <w:rPr>
          <w:color w:val="auto"/>
        </w:rPr>
        <w:t xml:space="preserve">we present the results of a long-term, real-world study that shows the effects of intravitreal treatment in a sample of </w:t>
      </w:r>
      <w:proofErr w:type="spellStart"/>
      <w:r w:rsidRPr="004825BB">
        <w:rPr>
          <w:color w:val="auto"/>
        </w:rPr>
        <w:t>nAMD</w:t>
      </w:r>
      <w:proofErr w:type="spellEnd"/>
      <w:r w:rsidRPr="004825BB">
        <w:rPr>
          <w:color w:val="auto"/>
        </w:rPr>
        <w:t xml:space="preserve"> patients</w:t>
      </w:r>
      <w:r w:rsidR="00A55B23">
        <w:rPr>
          <w:color w:val="auto"/>
        </w:rPr>
        <w:t xml:space="preserve"> by</w:t>
      </w:r>
      <w:r w:rsidRPr="004825BB">
        <w:rPr>
          <w:color w:val="auto"/>
        </w:rPr>
        <w:t xml:space="preserve"> assessing a broad set of endpoints: long-term clinical outcomes, QoL</w:t>
      </w:r>
      <w:r w:rsidR="00A55B23">
        <w:rPr>
          <w:color w:val="auto"/>
        </w:rPr>
        <w:t>,</w:t>
      </w:r>
      <w:r w:rsidRPr="004825BB">
        <w:rPr>
          <w:color w:val="auto"/>
        </w:rPr>
        <w:t xml:space="preserve"> and social tangible support. The study reveals that patients treated with AMD experience a decrease in quality of life over time. </w:t>
      </w:r>
      <w:r w:rsidR="00AC6726">
        <w:rPr>
          <w:color w:val="auto"/>
        </w:rPr>
        <w:t>However,</w:t>
      </w:r>
      <w:r w:rsidR="00AC6726" w:rsidRPr="004825BB">
        <w:rPr>
          <w:color w:val="auto"/>
        </w:rPr>
        <w:t xml:space="preserve"> </w:t>
      </w:r>
      <w:r w:rsidRPr="004825BB">
        <w:rPr>
          <w:color w:val="auto"/>
        </w:rPr>
        <w:t xml:space="preserve">there is an important peculiarity which is that during the period that passed between the first and the second interview they suffered the consequences of a pandemic that dramatically </w:t>
      </w:r>
      <w:r w:rsidR="00AC6726" w:rsidRPr="004825BB">
        <w:rPr>
          <w:color w:val="auto"/>
        </w:rPr>
        <w:t xml:space="preserve">changed </w:t>
      </w:r>
      <w:r w:rsidRPr="004825BB">
        <w:rPr>
          <w:color w:val="auto"/>
        </w:rPr>
        <w:t xml:space="preserve">their lives. All our patients were affected by the pandemic in many </w:t>
      </w:r>
      <w:r w:rsidR="0047002B">
        <w:rPr>
          <w:color w:val="auto"/>
        </w:rPr>
        <w:t>ways</w:t>
      </w:r>
      <w:r w:rsidR="0047002B" w:rsidRPr="004825BB">
        <w:rPr>
          <w:color w:val="auto"/>
        </w:rPr>
        <w:t xml:space="preserve"> </w:t>
      </w:r>
      <w:r w:rsidRPr="004825BB">
        <w:rPr>
          <w:color w:val="auto"/>
        </w:rPr>
        <w:t xml:space="preserve">because there could have </w:t>
      </w:r>
      <w:r w:rsidR="0047002B">
        <w:rPr>
          <w:color w:val="auto"/>
        </w:rPr>
        <w:t xml:space="preserve">been </w:t>
      </w:r>
      <w:r w:rsidRPr="004825BB">
        <w:rPr>
          <w:color w:val="auto"/>
        </w:rPr>
        <w:t xml:space="preserve">delayed appointments or </w:t>
      </w:r>
      <w:r w:rsidR="0047002B">
        <w:rPr>
          <w:color w:val="auto"/>
        </w:rPr>
        <w:t xml:space="preserve">they </w:t>
      </w:r>
      <w:r w:rsidRPr="004825BB">
        <w:rPr>
          <w:color w:val="auto"/>
        </w:rPr>
        <w:t>may have had difficulties reaching the hospital not only for their eye problem but also other medical problems. Moreover, many of them los</w:t>
      </w:r>
      <w:r w:rsidR="000C6211">
        <w:rPr>
          <w:color w:val="auto"/>
        </w:rPr>
        <w:t>s</w:t>
      </w:r>
      <w:r w:rsidRPr="004825BB">
        <w:rPr>
          <w:color w:val="auto"/>
        </w:rPr>
        <w:t xml:space="preserve"> contact with family, change</w:t>
      </w:r>
      <w:r w:rsidR="000C6211">
        <w:rPr>
          <w:color w:val="auto"/>
        </w:rPr>
        <w:t>d</w:t>
      </w:r>
      <w:r w:rsidRPr="004825BB">
        <w:rPr>
          <w:color w:val="auto"/>
        </w:rPr>
        <w:t xml:space="preserve"> their routines, were threaten</w:t>
      </w:r>
      <w:r w:rsidR="000C6211">
        <w:rPr>
          <w:color w:val="auto"/>
        </w:rPr>
        <w:t>ed</w:t>
      </w:r>
      <w:r w:rsidRPr="004825BB">
        <w:rPr>
          <w:color w:val="auto"/>
        </w:rPr>
        <w:t xml:space="preserve"> or affected by the SARS-Cov</w:t>
      </w:r>
      <w:r w:rsidR="00C2641E" w:rsidRPr="004825BB">
        <w:rPr>
          <w:color w:val="auto"/>
        </w:rPr>
        <w:t>-</w:t>
      </w:r>
      <w:r w:rsidRPr="004825BB">
        <w:rPr>
          <w:color w:val="auto"/>
        </w:rPr>
        <w:t>2 infection</w:t>
      </w:r>
      <w:r w:rsidR="000C6211">
        <w:rPr>
          <w:color w:val="auto"/>
        </w:rPr>
        <w:t>,</w:t>
      </w:r>
      <w:r w:rsidRPr="004825BB">
        <w:rPr>
          <w:color w:val="auto"/>
        </w:rPr>
        <w:t xml:space="preserve"> etc. In the present </w:t>
      </w:r>
      <w:r w:rsidR="000C3B45">
        <w:rPr>
          <w:color w:val="auto"/>
        </w:rPr>
        <w:t>study</w:t>
      </w:r>
      <w:r w:rsidRPr="004825BB">
        <w:rPr>
          <w:color w:val="auto"/>
        </w:rPr>
        <w:t xml:space="preserve">, we focused our attention </w:t>
      </w:r>
      <w:r w:rsidR="000C3B45">
        <w:rPr>
          <w:color w:val="auto"/>
        </w:rPr>
        <w:t>o</w:t>
      </w:r>
      <w:r w:rsidRPr="004825BB">
        <w:rPr>
          <w:color w:val="auto"/>
        </w:rPr>
        <w:t xml:space="preserve">n QoL and tangible support with validated methods of measurement under the described </w:t>
      </w:r>
      <w:r w:rsidR="000C3B45" w:rsidRPr="004825BB">
        <w:rPr>
          <w:color w:val="auto"/>
        </w:rPr>
        <w:t>circumstances</w:t>
      </w:r>
      <w:r w:rsidRPr="004825BB">
        <w:rPr>
          <w:color w:val="auto"/>
        </w:rPr>
        <w:t>.</w:t>
      </w:r>
    </w:p>
    <w:p w14:paraId="2B8CA5D1" w14:textId="77777777" w:rsidR="00FB785E" w:rsidRPr="00042E2A" w:rsidRDefault="004B6FA0" w:rsidP="00157D56">
      <w:pPr>
        <w:pStyle w:val="MDPI31text"/>
        <w:rPr>
          <w:color w:val="auto"/>
          <w:spacing w:val="-4"/>
        </w:rPr>
      </w:pPr>
      <w:r>
        <w:t>The c</w:t>
      </w:r>
      <w:r w:rsidR="00FB785E" w:rsidRPr="004825BB">
        <w:t>linical outcomes of our sample reflect what has been described in other real-world</w:t>
      </w:r>
      <w:r w:rsidR="003E1026">
        <w:t>,</w:t>
      </w:r>
      <w:r w:rsidR="00FB785E" w:rsidRPr="004825BB">
        <w:t xml:space="preserve"> </w:t>
      </w:r>
      <w:r w:rsidR="00FB785E" w:rsidRPr="004825BB">
        <w:rPr>
          <w:color w:val="auto"/>
        </w:rPr>
        <w:t xml:space="preserve">long-term studies on the subject: there is a gradual deterioration of visual function over time in </w:t>
      </w:r>
      <w:proofErr w:type="spellStart"/>
      <w:r w:rsidR="00FB785E" w:rsidRPr="004825BB">
        <w:rPr>
          <w:color w:val="auto"/>
        </w:rPr>
        <w:t>nAMD</w:t>
      </w:r>
      <w:proofErr w:type="spellEnd"/>
      <w:r w:rsidR="00FB785E" w:rsidRPr="004825BB">
        <w:rPr>
          <w:color w:val="auto"/>
        </w:rPr>
        <w:t xml:space="preserve"> patients, despite the high mean number of intravitreal injections </w:t>
      </w:r>
      <w:r w:rsidR="00D40256" w:rsidRPr="004825BB">
        <w:rPr>
          <w:color w:val="auto"/>
        </w:rPr>
        <w:t>[23,24</w:t>
      </w:r>
      <w:r w:rsidR="00FB785E" w:rsidRPr="004825BB">
        <w:rPr>
          <w:color w:val="auto"/>
        </w:rPr>
        <w:t>].</w:t>
      </w:r>
      <w:bookmarkStart w:id="49" w:name="_Ref87939318"/>
      <w:r w:rsidR="00FB785E" w:rsidRPr="004825BB">
        <w:rPr>
          <w:color w:val="auto"/>
        </w:rPr>
        <w:t xml:space="preserve"> </w:t>
      </w:r>
      <w:bookmarkEnd w:id="49"/>
      <w:r w:rsidR="00FB785E" w:rsidRPr="00042E2A">
        <w:rPr>
          <w:color w:val="auto"/>
          <w:spacing w:val="-4"/>
        </w:rPr>
        <w:t xml:space="preserve">There are several possible reasons for this in the present </w:t>
      </w:r>
      <w:r w:rsidR="00814F4C" w:rsidRPr="00042E2A">
        <w:rPr>
          <w:color w:val="auto"/>
          <w:spacing w:val="-4"/>
        </w:rPr>
        <w:t>study</w:t>
      </w:r>
      <w:r w:rsidR="00FB785E" w:rsidRPr="00042E2A">
        <w:rPr>
          <w:color w:val="auto"/>
          <w:spacing w:val="-4"/>
        </w:rPr>
        <w:t xml:space="preserve">. The patients of our sample were treated for nearly 7 years at the final survey, and it has been reported in several real-world observational studies that patients followed for more than 7 years have a vision decrease that can reach a loss of 4.3 letters per year [25]. </w:t>
      </w:r>
      <w:r w:rsidR="00814F4C" w:rsidRPr="00042E2A">
        <w:rPr>
          <w:color w:val="auto"/>
          <w:spacing w:val="-4"/>
        </w:rPr>
        <w:t>Furthermore</w:t>
      </w:r>
      <w:r w:rsidR="00FB785E" w:rsidRPr="00042E2A">
        <w:rPr>
          <w:color w:val="auto"/>
          <w:spacing w:val="-4"/>
        </w:rPr>
        <w:t xml:space="preserve">, visual loss in the long </w:t>
      </w:r>
      <w:r w:rsidR="00FB785E" w:rsidRPr="00042E2A">
        <w:rPr>
          <w:color w:val="auto"/>
          <w:spacing w:val="-4"/>
        </w:rPr>
        <w:lastRenderedPageBreak/>
        <w:t>term has been related to progression to atrophy or suboptimal therapy</w:t>
      </w:r>
      <w:r w:rsidR="00F638F8" w:rsidRPr="00042E2A">
        <w:rPr>
          <w:color w:val="auto"/>
          <w:spacing w:val="-4"/>
        </w:rPr>
        <w:t>,</w:t>
      </w:r>
      <w:r w:rsidR="00FB785E" w:rsidRPr="00042E2A">
        <w:rPr>
          <w:color w:val="auto"/>
          <w:spacing w:val="-4"/>
        </w:rPr>
        <w:t xml:space="preserve"> as was precisely the case </w:t>
      </w:r>
      <w:r w:rsidR="000F704F" w:rsidRPr="00042E2A">
        <w:rPr>
          <w:color w:val="auto"/>
          <w:spacing w:val="-4"/>
        </w:rPr>
        <w:t xml:space="preserve">in </w:t>
      </w:r>
      <w:r w:rsidR="00FB785E" w:rsidRPr="00042E2A">
        <w:rPr>
          <w:color w:val="auto"/>
          <w:spacing w:val="-4"/>
        </w:rPr>
        <w:t>many patients that delay</w:t>
      </w:r>
      <w:r w:rsidR="000F704F" w:rsidRPr="00042E2A">
        <w:rPr>
          <w:color w:val="auto"/>
          <w:spacing w:val="-4"/>
        </w:rPr>
        <w:t>ed</w:t>
      </w:r>
      <w:r w:rsidR="00FB785E" w:rsidRPr="00042E2A">
        <w:rPr>
          <w:color w:val="auto"/>
          <w:spacing w:val="-4"/>
        </w:rPr>
        <w:t xml:space="preserve"> appointments and injections in our sample [25].</w:t>
      </w:r>
    </w:p>
    <w:p w14:paraId="4DC1FB45" w14:textId="77777777" w:rsidR="00FB785E" w:rsidRPr="00042E2A" w:rsidRDefault="00FB785E" w:rsidP="00157D56">
      <w:pPr>
        <w:pStyle w:val="MDPI31text"/>
        <w:rPr>
          <w:spacing w:val="-4"/>
        </w:rPr>
      </w:pPr>
      <w:r w:rsidRPr="00042E2A">
        <w:rPr>
          <w:color w:val="auto"/>
          <w:spacing w:val="-4"/>
        </w:rPr>
        <w:t xml:space="preserve">Our sample also showed a progressive increase in bilateral treatments </w:t>
      </w:r>
      <w:r w:rsidRPr="00042E2A">
        <w:rPr>
          <w:spacing w:val="-4"/>
        </w:rPr>
        <w:t>due to sequential involvement of the fellow eye</w:t>
      </w:r>
      <w:r w:rsidR="00F638F8" w:rsidRPr="00042E2A">
        <w:rPr>
          <w:spacing w:val="-4"/>
        </w:rPr>
        <w:t>,</w:t>
      </w:r>
      <w:r w:rsidRPr="00042E2A">
        <w:rPr>
          <w:spacing w:val="-4"/>
        </w:rPr>
        <w:t xml:space="preserve"> which was expected as this is a bilateral condition [26].</w:t>
      </w:r>
    </w:p>
    <w:p w14:paraId="25D176B0" w14:textId="77777777" w:rsidR="00FB785E" w:rsidRPr="004825BB" w:rsidRDefault="00FB785E" w:rsidP="00157D56">
      <w:pPr>
        <w:pStyle w:val="MDPI31text"/>
      </w:pPr>
      <w:r w:rsidRPr="004825BB">
        <w:t xml:space="preserve">Although the influence of anti-VEGF treatment on vision-related QoL has been assessed in several studies, there was a shortage of information about how repeated hospital visits and frequent anti-VEGF injections influence other vital facets of patients’ functionality that can be measured through generic instruments such as EQ-5D. Recently, Finger et al. [3] published a systematic review on the impact of anti-VEGF in </w:t>
      </w:r>
      <w:proofErr w:type="spellStart"/>
      <w:r w:rsidRPr="004825BB">
        <w:t>nAMD</w:t>
      </w:r>
      <w:proofErr w:type="spellEnd"/>
      <w:r w:rsidRPr="004825BB">
        <w:t xml:space="preserve"> on patient outcomes and highlighted this fact. Good </w:t>
      </w:r>
      <w:proofErr w:type="spellStart"/>
      <w:r w:rsidRPr="004825BB">
        <w:t>HRQoL</w:t>
      </w:r>
      <w:proofErr w:type="spellEnd"/>
      <w:r w:rsidRPr="004825BB">
        <w:t xml:space="preserve"> is not synonymous with good QoL. Generic measures can underestimate some of the health effects of certain conditions such as visual problems [26].</w:t>
      </w:r>
      <w:r w:rsidR="004C3117" w:rsidRPr="004C3117">
        <w:t xml:space="preserve"> </w:t>
      </w:r>
      <w:r w:rsidRPr="004825BB">
        <w:t xml:space="preserve">Most of the domains explored with generic instruments are not directly </w:t>
      </w:r>
      <w:r w:rsidRPr="004825BB">
        <w:rPr>
          <w:color w:val="auto"/>
        </w:rPr>
        <w:t>modified by visual impairment (e.g., pain, energy), although they can be affected indirectly (e.g., motility, depression). Obviously, the high frequency of problems related to pain</w:t>
      </w:r>
      <w:r w:rsidR="00815F0D">
        <w:rPr>
          <w:color w:val="auto"/>
        </w:rPr>
        <w:t>/</w:t>
      </w:r>
      <w:r w:rsidRPr="004825BB">
        <w:rPr>
          <w:color w:val="auto"/>
        </w:rPr>
        <w:t>disco</w:t>
      </w:r>
      <w:r w:rsidR="0007301D">
        <w:rPr>
          <w:color w:val="auto"/>
        </w:rPr>
        <w:t>m</w:t>
      </w:r>
      <w:r w:rsidRPr="004825BB">
        <w:rPr>
          <w:color w:val="auto"/>
        </w:rPr>
        <w:t>fort found in our sample is not related to AMD but the questionnaire reflects other health problems of our AMD patients. Pain</w:t>
      </w:r>
      <w:r w:rsidR="000436EB">
        <w:rPr>
          <w:color w:val="auto"/>
        </w:rPr>
        <w:t>/</w:t>
      </w:r>
      <w:r w:rsidRPr="004825BB">
        <w:rPr>
          <w:color w:val="auto"/>
        </w:rPr>
        <w:t>disco</w:t>
      </w:r>
      <w:r w:rsidR="000436EB">
        <w:rPr>
          <w:color w:val="auto"/>
        </w:rPr>
        <w:t>m</w:t>
      </w:r>
      <w:r w:rsidRPr="004825BB">
        <w:rPr>
          <w:color w:val="auto"/>
        </w:rPr>
        <w:t>fort is a frequent complaint in the general population, especially in women (Fig</w:t>
      </w:r>
      <w:r w:rsidR="007522FF" w:rsidRPr="004825BB">
        <w:rPr>
          <w:color w:val="auto"/>
        </w:rPr>
        <w:t>ure</w:t>
      </w:r>
      <w:r w:rsidRPr="004825BB">
        <w:rPr>
          <w:color w:val="auto"/>
        </w:rPr>
        <w:t xml:space="preserve"> 1). Nevertheless, </w:t>
      </w:r>
      <w:r w:rsidR="000436EB">
        <w:rPr>
          <w:color w:val="auto"/>
        </w:rPr>
        <w:t xml:space="preserve">the </w:t>
      </w:r>
      <w:r w:rsidRPr="004825BB">
        <w:rPr>
          <w:color w:val="auto"/>
        </w:rPr>
        <w:t xml:space="preserve">generic measures of </w:t>
      </w:r>
      <w:proofErr w:type="spellStart"/>
      <w:r w:rsidRPr="004825BB">
        <w:rPr>
          <w:color w:val="auto"/>
        </w:rPr>
        <w:t>HRQoL</w:t>
      </w:r>
      <w:proofErr w:type="spellEnd"/>
      <w:r w:rsidRPr="004825BB">
        <w:rPr>
          <w:color w:val="auto"/>
        </w:rPr>
        <w:t xml:space="preserve"> such as EQ-5D have some advantages, such as measuring </w:t>
      </w:r>
      <w:r w:rsidRPr="004825BB">
        <w:t>the i</w:t>
      </w:r>
      <w:r w:rsidRPr="00042E2A">
        <w:rPr>
          <w:spacing w:val="-4"/>
        </w:rPr>
        <w:t xml:space="preserve">nfluence of conditions or their treatments on global </w:t>
      </w:r>
      <w:proofErr w:type="spellStart"/>
      <w:r w:rsidRPr="00042E2A">
        <w:rPr>
          <w:spacing w:val="-4"/>
        </w:rPr>
        <w:t>HRQoL</w:t>
      </w:r>
      <w:proofErr w:type="spellEnd"/>
      <w:r w:rsidRPr="00042E2A">
        <w:rPr>
          <w:spacing w:val="-4"/>
        </w:rPr>
        <w:t xml:space="preserve"> and offering the possibility to compare this impact within different disorders. To improve the sensitivity of generic instruments in relation to visual problems, some authors advocate adding a bolt-on vision dimension to the EQ-5D. This bolt-on dimension consists of adding to the five standard dimensions one more dimension in which the patient evaluates his or her visual difficulties by choosing between these response options: “no problems”</w:t>
      </w:r>
      <w:r w:rsidR="00A94930" w:rsidRPr="00042E2A">
        <w:rPr>
          <w:spacing w:val="-4"/>
        </w:rPr>
        <w:t>,</w:t>
      </w:r>
      <w:r w:rsidRPr="00042E2A">
        <w:rPr>
          <w:spacing w:val="-4"/>
        </w:rPr>
        <w:t xml:space="preserve"> “some problems”</w:t>
      </w:r>
      <w:r w:rsidR="00A94930" w:rsidRPr="00042E2A">
        <w:rPr>
          <w:spacing w:val="-4"/>
        </w:rPr>
        <w:t>,</w:t>
      </w:r>
      <w:r w:rsidRPr="00042E2A">
        <w:rPr>
          <w:spacing w:val="-4"/>
        </w:rPr>
        <w:t xml:space="preserve"> or “extreme problem</w:t>
      </w:r>
      <w:r w:rsidR="00042E2A">
        <w:rPr>
          <w:spacing w:val="-4"/>
        </w:rPr>
        <w:t>s</w:t>
      </w:r>
      <w:r w:rsidRPr="00042E2A">
        <w:rPr>
          <w:spacing w:val="-4"/>
        </w:rPr>
        <w:t>” in seeing</w:t>
      </w:r>
      <w:bookmarkStart w:id="50" w:name="_Ref87898295"/>
      <w:r w:rsidRPr="00042E2A">
        <w:rPr>
          <w:spacing w:val="-4"/>
        </w:rPr>
        <w:t xml:space="preserve"> [27].</w:t>
      </w:r>
      <w:bookmarkEnd w:id="50"/>
      <w:r w:rsidRPr="00042E2A">
        <w:rPr>
          <w:spacing w:val="-4"/>
        </w:rPr>
        <w:t xml:space="preserve"> Although vision is underrepresented in EQ-5D, our study also collected data regarding visual impairment and VA that are directly correlated with vision-related QoL and could complete this gap [28].</w:t>
      </w:r>
    </w:p>
    <w:p w14:paraId="6FC2F1A3" w14:textId="77777777" w:rsidR="00FB785E" w:rsidRPr="004825BB" w:rsidRDefault="00FB785E" w:rsidP="00157D56">
      <w:pPr>
        <w:pStyle w:val="MDPI31text"/>
      </w:pPr>
      <w:r w:rsidRPr="004825BB">
        <w:t xml:space="preserve">Concerning the questionnaire used to explore social support, we did not use the whole MOS social support survey (19 questions) </w:t>
      </w:r>
      <w:proofErr w:type="gramStart"/>
      <w:r w:rsidRPr="004825BB">
        <w:t>in order to</w:t>
      </w:r>
      <w:proofErr w:type="gramEnd"/>
      <w:r w:rsidRPr="004825BB">
        <w:t xml:space="preserve"> minimize the potential for survey fatigue. Because of the possibility of intervention, we were interested in having information about the provision of material aid or behavioral assistance from others that the patient could need because of his or her ocular disease.</w:t>
      </w:r>
    </w:p>
    <w:p w14:paraId="24BCE0CB" w14:textId="77777777" w:rsidR="00FB785E" w:rsidRPr="004825BB" w:rsidRDefault="00FB785E" w:rsidP="00157D56">
      <w:pPr>
        <w:pStyle w:val="MDPI31text"/>
      </w:pPr>
      <w:r w:rsidRPr="004825BB">
        <w:t>The study design</w:t>
      </w:r>
      <w:r w:rsidR="004C053D" w:rsidRPr="004825BB">
        <w:t>—</w:t>
      </w:r>
      <w:r w:rsidRPr="004825BB">
        <w:t>panel study</w:t>
      </w:r>
      <w:r w:rsidR="004C053D" w:rsidRPr="004825BB">
        <w:t>—</w:t>
      </w:r>
      <w:r w:rsidRPr="004825BB">
        <w:t xml:space="preserve">allows tracking the changes that have taken place over time and, in this case, with the special impact of the pandemic. Nevertheless, there are two main drawbacks in this kind of study: loss of participants and reactivity. Loss to follow-up (also called attrition) and exclusion criteria (such as cognitive impairment) could have biased the results. Selective attrition—loss to follow-up, especially in older and sicker patients—is </w:t>
      </w:r>
      <w:r w:rsidR="009C35C7">
        <w:t>one of the</w:t>
      </w:r>
      <w:r w:rsidRPr="004825BB">
        <w:t xml:space="preserve"> main problem</w:t>
      </w:r>
      <w:r w:rsidR="009C35C7">
        <w:t>s</w:t>
      </w:r>
      <w:r w:rsidRPr="004825BB">
        <w:t xml:space="preserve"> in long-term studies with very old populations </w:t>
      </w:r>
      <w:r w:rsidR="00D40256" w:rsidRPr="004825BB">
        <w:t>[29,</w:t>
      </w:r>
      <w:r w:rsidR="00D40256" w:rsidRPr="000105F2">
        <w:rPr>
          <w:highlight w:val="yellow"/>
        </w:rPr>
        <w:t>30</w:t>
      </w:r>
      <w:r w:rsidRPr="000105F2">
        <w:rPr>
          <w:highlight w:val="yellow"/>
        </w:rPr>
        <w:t>].</w:t>
      </w:r>
      <w:r w:rsidR="004C3117" w:rsidRPr="004C3117">
        <w:t xml:space="preserve"> </w:t>
      </w:r>
      <w:r w:rsidRPr="004825BB">
        <w:t xml:space="preserve">In the present study, attrition accounted for less than 25% of the initial sample, which is much less than that reported in other studies of similar follow-up, which can reach up to 50% in studies of more than 6 years </w:t>
      </w:r>
      <w:r w:rsidR="00D40256" w:rsidRPr="004825BB">
        <w:t>[22,27,28</w:t>
      </w:r>
      <w:r w:rsidRPr="004825BB">
        <w:t>]. Reactivity</w:t>
      </w:r>
      <w:r w:rsidR="004C3117" w:rsidRPr="004C3117">
        <w:t xml:space="preserve"> </w:t>
      </w:r>
      <w:r w:rsidRPr="004825BB">
        <w:t xml:space="preserve">accounts for the bias in opinion that occurs when the same questions are posed </w:t>
      </w:r>
      <w:r w:rsidR="0030726F">
        <w:t>to</w:t>
      </w:r>
      <w:r w:rsidR="0030726F" w:rsidRPr="004825BB">
        <w:t xml:space="preserve"> </w:t>
      </w:r>
      <w:r w:rsidRPr="004825BB">
        <w:t xml:space="preserve">individuals several times. However, in the present study, the interval between interviews was 30 months, which is expected to be enough </w:t>
      </w:r>
      <w:r w:rsidR="000E4945" w:rsidRPr="004825BB">
        <w:t xml:space="preserve">time </w:t>
      </w:r>
      <w:r w:rsidRPr="004825BB">
        <w:t>to minimize reactivity.</w:t>
      </w:r>
    </w:p>
    <w:p w14:paraId="7D0898D8" w14:textId="77777777" w:rsidR="00FB785E" w:rsidRPr="004825BB" w:rsidRDefault="00FB785E" w:rsidP="00157D56">
      <w:pPr>
        <w:pStyle w:val="MDPI31text"/>
      </w:pPr>
      <w:r w:rsidRPr="004825BB">
        <w:t>The present sample was compared to the population of the age-matched Spanish 2012 National Health Survey. Perceived health status has improved since 2012 [</w:t>
      </w:r>
      <w:r w:rsidR="00EC0154">
        <w:t>31,</w:t>
      </w:r>
      <w:commentRangeStart w:id="51"/>
      <w:commentRangeStart w:id="52"/>
      <w:r w:rsidRPr="004825BB">
        <w:rPr>
          <w:highlight w:val="yellow"/>
        </w:rPr>
        <w:t>32</w:t>
      </w:r>
      <w:commentRangeEnd w:id="51"/>
      <w:r w:rsidR="00F1301B" w:rsidRPr="004825BB">
        <w:rPr>
          <w:rStyle w:val="Refdecomentario"/>
          <w:rFonts w:eastAsia="SimSun"/>
          <w:snapToGrid/>
          <w:kern w:val="0"/>
          <w:lang w:eastAsia="zh-CN" w:bidi="ar-SA"/>
          <w14:ligatures w14:val="none"/>
        </w:rPr>
        <w:commentReference w:id="51"/>
      </w:r>
      <w:commentRangeEnd w:id="52"/>
      <w:r w:rsidR="00EC0154">
        <w:rPr>
          <w:rStyle w:val="Refdecomentario"/>
          <w:rFonts w:eastAsia="SimSun"/>
          <w:snapToGrid/>
          <w:kern w:val="0"/>
          <w:lang w:eastAsia="zh-CN" w:bidi="ar-SA"/>
          <w14:ligatures w14:val="none"/>
        </w:rPr>
        <w:commentReference w:id="52"/>
      </w:r>
      <w:r w:rsidRPr="004825BB">
        <w:t xml:space="preserve">]. This could explain, at least in part, the fact that our sample showed higher </w:t>
      </w:r>
      <w:r w:rsidR="0030726F" w:rsidRPr="004825BB">
        <w:t xml:space="preserve">mean </w:t>
      </w:r>
      <w:proofErr w:type="spellStart"/>
      <w:r w:rsidR="00EC0154">
        <w:t>HRQoL</w:t>
      </w:r>
      <w:proofErr w:type="spellEnd"/>
      <w:r w:rsidR="00EC0154">
        <w:t xml:space="preserve"> scores [33</w:t>
      </w:r>
      <w:r w:rsidRPr="004825BB">
        <w:t xml:space="preserve">]. Other studies published by </w:t>
      </w:r>
      <w:proofErr w:type="spellStart"/>
      <w:r w:rsidRPr="004825BB">
        <w:t>Péntek</w:t>
      </w:r>
      <w:proofErr w:type="spellEnd"/>
      <w:r w:rsidRPr="004825BB">
        <w:t xml:space="preserve"> et al. [34] also found no differences compared to the age-matched general population. In contrast, there are many publications underlining the negative effects of AMD on QoL [5]. However, most published studies in this field lack discrimination between neovascular and non</w:t>
      </w:r>
      <w:r w:rsidR="00E30184">
        <w:t>-</w:t>
      </w:r>
      <w:r w:rsidRPr="004825BB">
        <w:t xml:space="preserve">neovascular AMD or were performed before the anti-VEGF era [5], and it has already been mentioned that anti-VEGF treatment yields an important improvement in the QoL of </w:t>
      </w:r>
      <w:proofErr w:type="spellStart"/>
      <w:r w:rsidRPr="004825BB">
        <w:t>nAMD</w:t>
      </w:r>
      <w:proofErr w:type="spellEnd"/>
      <w:r w:rsidRPr="004825BB">
        <w:t xml:space="preserve"> patients [3].</w:t>
      </w:r>
    </w:p>
    <w:p w14:paraId="4DDC9326" w14:textId="77777777" w:rsidR="00FB785E" w:rsidRPr="004825BB" w:rsidRDefault="00FB785E" w:rsidP="00157D56">
      <w:pPr>
        <w:pStyle w:val="MDPI31text"/>
      </w:pPr>
      <w:r w:rsidRPr="004825BB">
        <w:lastRenderedPageBreak/>
        <w:t xml:space="preserve">In our sample, females and older patients showed lower QoL scores in the initial and final surveys, which is a common finding in QoL studies </w:t>
      </w:r>
      <w:r w:rsidR="00D40256" w:rsidRPr="004825BB">
        <w:t>[35,36</w:t>
      </w:r>
      <w:r w:rsidRPr="004825BB">
        <w:t xml:space="preserve">]. Receiving treatment in both eyes was correlated with worse scores on the EQ-5D, but the differences did not reach statistical significance in the final survey. Lower visual impairment and, especially, higher bilateral VA were related to higher scores on QoL questionnaires, which was expected and in accordance with </w:t>
      </w:r>
      <w:proofErr w:type="spellStart"/>
      <w:r w:rsidRPr="004825BB">
        <w:t>Péntek</w:t>
      </w:r>
      <w:proofErr w:type="spellEnd"/>
      <w:r w:rsidRPr="004825BB">
        <w:t xml:space="preserve"> et al</w:t>
      </w:r>
      <w:r w:rsidRPr="004825BB">
        <w:rPr>
          <w:i/>
        </w:rPr>
        <w:t>.</w:t>
      </w:r>
      <w:r w:rsidRPr="004825BB">
        <w:rPr>
          <w:iCs/>
        </w:rPr>
        <w:t>’s [34]</w:t>
      </w:r>
      <w:r w:rsidRPr="004825BB">
        <w:t xml:space="preserve"> findings.</w:t>
      </w:r>
    </w:p>
    <w:p w14:paraId="2205FC3D" w14:textId="77777777" w:rsidR="00FB785E" w:rsidRPr="004825BB" w:rsidRDefault="00FB785E" w:rsidP="00157D56">
      <w:pPr>
        <w:pStyle w:val="MDPI31text"/>
        <w:rPr>
          <w:color w:val="auto"/>
        </w:rPr>
      </w:pPr>
      <w:r w:rsidRPr="004825BB">
        <w:t xml:space="preserve">The mean EQ-5D score did not change substantially after confinement, but a detailed reading of the data </w:t>
      </w:r>
      <w:r w:rsidRPr="004825BB">
        <w:rPr>
          <w:color w:val="auto"/>
        </w:rPr>
        <w:t xml:space="preserve">shows that scores on self-care problems and usual activities worsened, as shown in the 2012 figures. Most patients </w:t>
      </w:r>
      <w:r w:rsidR="005D1A4C">
        <w:rPr>
          <w:color w:val="auto"/>
        </w:rPr>
        <w:t>who reported</w:t>
      </w:r>
      <w:r w:rsidRPr="004825BB">
        <w:rPr>
          <w:color w:val="auto"/>
        </w:rPr>
        <w:t xml:space="preserve"> worsening in these questions refer</w:t>
      </w:r>
      <w:r w:rsidR="00E91B4B">
        <w:rPr>
          <w:color w:val="auto"/>
        </w:rPr>
        <w:t>r</w:t>
      </w:r>
      <w:r w:rsidRPr="004825BB">
        <w:rPr>
          <w:color w:val="auto"/>
        </w:rPr>
        <w:t xml:space="preserve">ed </w:t>
      </w:r>
      <w:r w:rsidR="00E91B4B">
        <w:rPr>
          <w:color w:val="auto"/>
        </w:rPr>
        <w:t xml:space="preserve">to </w:t>
      </w:r>
      <w:r w:rsidRPr="004825BB">
        <w:rPr>
          <w:color w:val="auto"/>
        </w:rPr>
        <w:t>having problems washing and dressing themselves (self-care) o</w:t>
      </w:r>
      <w:r w:rsidR="00E91B4B">
        <w:rPr>
          <w:color w:val="auto"/>
        </w:rPr>
        <w:t>r</w:t>
      </w:r>
      <w:r w:rsidRPr="004825BB">
        <w:rPr>
          <w:color w:val="auto"/>
        </w:rPr>
        <w:t xml:space="preserve"> having some problems in their usual activities, as can be seen in </w:t>
      </w:r>
      <w:r w:rsidR="004C053D" w:rsidRPr="004825BB">
        <w:rPr>
          <w:color w:val="auto"/>
        </w:rPr>
        <w:t>Table 2</w:t>
      </w:r>
      <w:r w:rsidRPr="004825BB">
        <w:rPr>
          <w:color w:val="auto"/>
        </w:rPr>
        <w:t>. Physical activity decreased significantly during confinement and sedentary time increase</w:t>
      </w:r>
      <w:r w:rsidR="003245C0">
        <w:rPr>
          <w:color w:val="auto"/>
        </w:rPr>
        <w:t>d</w:t>
      </w:r>
      <w:r w:rsidRPr="004825BB">
        <w:rPr>
          <w:color w:val="auto"/>
        </w:rPr>
        <w:t xml:space="preserve">. This could </w:t>
      </w:r>
      <w:r w:rsidR="003245C0">
        <w:rPr>
          <w:color w:val="auto"/>
        </w:rPr>
        <w:t xml:space="preserve">have </w:t>
      </w:r>
      <w:r w:rsidRPr="004825BB">
        <w:rPr>
          <w:color w:val="auto"/>
        </w:rPr>
        <w:t>accelerate</w:t>
      </w:r>
      <w:r w:rsidR="003245C0">
        <w:rPr>
          <w:color w:val="auto"/>
        </w:rPr>
        <w:t>d</w:t>
      </w:r>
      <w:r w:rsidRPr="004825BB">
        <w:rPr>
          <w:color w:val="auto"/>
        </w:rPr>
        <w:t xml:space="preserve"> the usual decline in muscle mass, strength, and function in the older adults</w:t>
      </w:r>
      <w:r w:rsidR="003245C0">
        <w:rPr>
          <w:color w:val="auto"/>
        </w:rPr>
        <w:t>,</w:t>
      </w:r>
      <w:r w:rsidRPr="004825BB">
        <w:rPr>
          <w:color w:val="auto"/>
        </w:rPr>
        <w:t xml:space="preserve"> </w:t>
      </w:r>
      <w:r w:rsidR="006860F7">
        <w:rPr>
          <w:color w:val="auto"/>
        </w:rPr>
        <w:t>e</w:t>
      </w:r>
      <w:r w:rsidRPr="004825BB">
        <w:rPr>
          <w:color w:val="auto"/>
        </w:rPr>
        <w:t xml:space="preserve">specially </w:t>
      </w:r>
      <w:r w:rsidR="003245C0" w:rsidRPr="004825BB">
        <w:rPr>
          <w:color w:val="auto"/>
        </w:rPr>
        <w:t xml:space="preserve">affecting </w:t>
      </w:r>
      <w:r w:rsidRPr="004825BB">
        <w:rPr>
          <w:color w:val="auto"/>
        </w:rPr>
        <w:t xml:space="preserve">activities </w:t>
      </w:r>
      <w:r w:rsidR="003245C0">
        <w:rPr>
          <w:color w:val="auto"/>
        </w:rPr>
        <w:t xml:space="preserve">such </w:t>
      </w:r>
      <w:r w:rsidRPr="004825BB">
        <w:rPr>
          <w:color w:val="auto"/>
        </w:rPr>
        <w:t xml:space="preserve">as </w:t>
      </w:r>
      <w:r w:rsidR="004C053D" w:rsidRPr="004825BB">
        <w:rPr>
          <w:color w:val="auto"/>
        </w:rPr>
        <w:t>“</w:t>
      </w:r>
      <w:r w:rsidRPr="004825BB">
        <w:rPr>
          <w:color w:val="auto"/>
        </w:rPr>
        <w:t>self-care</w:t>
      </w:r>
      <w:r w:rsidR="004C053D" w:rsidRPr="004825BB">
        <w:rPr>
          <w:color w:val="auto"/>
        </w:rPr>
        <w:t>”</w:t>
      </w:r>
      <w:r w:rsidRPr="004825BB">
        <w:rPr>
          <w:color w:val="auto"/>
        </w:rPr>
        <w:t xml:space="preserve"> and </w:t>
      </w:r>
      <w:r w:rsidR="004C053D" w:rsidRPr="004825BB">
        <w:rPr>
          <w:color w:val="auto"/>
        </w:rPr>
        <w:t>“</w:t>
      </w:r>
      <w:r w:rsidRPr="004825BB">
        <w:rPr>
          <w:color w:val="auto"/>
        </w:rPr>
        <w:t>usual activities</w:t>
      </w:r>
      <w:r w:rsidR="004C053D" w:rsidRPr="004825BB">
        <w:rPr>
          <w:color w:val="auto"/>
        </w:rPr>
        <w:t>”</w:t>
      </w:r>
      <w:r w:rsidRPr="004825BB">
        <w:rPr>
          <w:color w:val="auto"/>
        </w:rPr>
        <w:t xml:space="preserve"> </w:t>
      </w:r>
      <w:r w:rsidRPr="004825BB">
        <w:rPr>
          <w:iCs/>
          <w:color w:val="auto"/>
        </w:rPr>
        <w:t>[37]</w:t>
      </w:r>
      <w:r w:rsidR="00F14FF4" w:rsidRPr="004825BB">
        <w:rPr>
          <w:iCs/>
          <w:color w:val="auto"/>
        </w:rPr>
        <w:t>.</w:t>
      </w:r>
      <w:r w:rsidRPr="004825BB">
        <w:rPr>
          <w:color w:val="auto"/>
        </w:rPr>
        <w:t xml:space="preserve"> Moreover, in 17.9% of our patients, the second eye was affected in the final survey</w:t>
      </w:r>
      <w:r w:rsidR="00C77EF2">
        <w:rPr>
          <w:color w:val="auto"/>
        </w:rPr>
        <w:t>,</w:t>
      </w:r>
      <w:r w:rsidRPr="004825BB">
        <w:rPr>
          <w:color w:val="auto"/>
        </w:rPr>
        <w:t xml:space="preserve"> worsening the results of this item. Although </w:t>
      </w:r>
      <w:proofErr w:type="spellStart"/>
      <w:r w:rsidRPr="004825BB">
        <w:rPr>
          <w:color w:val="auto"/>
        </w:rPr>
        <w:t>HRQoL</w:t>
      </w:r>
      <w:proofErr w:type="spellEnd"/>
      <w:r w:rsidRPr="004825BB">
        <w:rPr>
          <w:color w:val="auto"/>
        </w:rPr>
        <w:t xml:space="preserve"> has improved substantially in </w:t>
      </w:r>
      <w:r w:rsidR="00C77EF2">
        <w:rPr>
          <w:color w:val="auto"/>
        </w:rPr>
        <w:t xml:space="preserve">the </w:t>
      </w:r>
      <w:r w:rsidRPr="004825BB">
        <w:rPr>
          <w:color w:val="auto"/>
        </w:rPr>
        <w:t xml:space="preserve">last decade in some sense, it has suffered a setback of 10 years due to the COVID-19 pandemic </w:t>
      </w:r>
      <w:r w:rsidRPr="004825BB">
        <w:rPr>
          <w:iCs/>
          <w:color w:val="auto"/>
        </w:rPr>
        <w:t>[33]</w:t>
      </w:r>
      <w:r w:rsidR="0098349A" w:rsidRPr="004825BB">
        <w:rPr>
          <w:iCs/>
          <w:color w:val="auto"/>
        </w:rPr>
        <w:t>.</w:t>
      </w:r>
    </w:p>
    <w:p w14:paraId="5AAA650F" w14:textId="77777777" w:rsidR="00FB785E" w:rsidRPr="004825BB" w:rsidRDefault="00FB785E" w:rsidP="00157D56">
      <w:pPr>
        <w:pStyle w:val="MDPI31text"/>
      </w:pPr>
      <w:r w:rsidRPr="004825BB">
        <w:rPr>
          <w:color w:val="auto"/>
        </w:rPr>
        <w:t xml:space="preserve">In general, our patients enjoyed strong tangible or material support. Nevertheless, patients living alone and female patients had lower scores in support and should be surveyed by social workers. The social isolation recommended for COVID-19 could </w:t>
      </w:r>
      <w:r w:rsidRPr="004825BB">
        <w:t>have had harmful consequences for patients having difficulties attending medical appointments due to the cancellation of public transport, the impossibility of being accompanied to the hospital</w:t>
      </w:r>
      <w:r w:rsidR="00DB7775">
        <w:t>,</w:t>
      </w:r>
      <w:r w:rsidRPr="004825BB">
        <w:t xml:space="preserve"> or concerns about COVID-19. Delayed medical care for chronic medical conditions has been widely reported during the COVID-19 pandemic, not only during the confinement period but also persisting until 2021 </w:t>
      </w:r>
      <w:r w:rsidR="00D40256" w:rsidRPr="004825BB">
        <w:t>[38,39</w:t>
      </w:r>
      <w:r w:rsidRPr="004825BB">
        <w:t xml:space="preserve">]. Patients with disabilities or multiple medical conditions most commonly reported </w:t>
      </w:r>
      <w:r w:rsidR="00DC7658">
        <w:t xml:space="preserve">a </w:t>
      </w:r>
      <w:r w:rsidRPr="004825BB">
        <w:t xml:space="preserve">delay </w:t>
      </w:r>
      <w:r w:rsidR="00DC7658">
        <w:t xml:space="preserve">in </w:t>
      </w:r>
      <w:r w:rsidRPr="004825BB">
        <w:t xml:space="preserve">or </w:t>
      </w:r>
      <w:r w:rsidR="00DC7658">
        <w:t xml:space="preserve">the </w:t>
      </w:r>
      <w:r w:rsidRPr="004825BB">
        <w:t>avoidance of any medical care [34]. In our study, patients who especially experienced more support were those who maintained treatment or had lower bilateral VA, and they were more aware of this support in the final survey. In the same way, visual impairment ma</w:t>
      </w:r>
      <w:r w:rsidR="00CF3D6F">
        <w:t>d</w:t>
      </w:r>
      <w:r w:rsidRPr="004825BB">
        <w:t xml:space="preserve">e our patients especially vulnerable by reducing their independence </w:t>
      </w:r>
      <w:commentRangeStart w:id="53"/>
      <w:commentRangeStart w:id="54"/>
      <w:r w:rsidR="00AD0195">
        <w:t xml:space="preserve">required </w:t>
      </w:r>
      <w:r w:rsidR="000716B2">
        <w:t>for</w:t>
      </w:r>
      <w:r w:rsidR="000716B2" w:rsidRPr="004825BB">
        <w:t xml:space="preserve"> </w:t>
      </w:r>
      <w:r w:rsidRPr="004825BB">
        <w:t>attending their visits.</w:t>
      </w:r>
      <w:commentRangeEnd w:id="53"/>
      <w:r w:rsidR="00AD0195">
        <w:rPr>
          <w:rStyle w:val="Refdecomentario"/>
          <w:rFonts w:eastAsia="SimSun"/>
          <w:noProof/>
          <w:snapToGrid/>
          <w:kern w:val="0"/>
          <w:lang w:eastAsia="zh-CN" w:bidi="ar-SA"/>
          <w14:ligatures w14:val="none"/>
        </w:rPr>
        <w:commentReference w:id="53"/>
      </w:r>
      <w:commentRangeEnd w:id="54"/>
      <w:r w:rsidR="00642933">
        <w:rPr>
          <w:rStyle w:val="Refdecomentario"/>
          <w:rFonts w:eastAsia="SimSun"/>
          <w:snapToGrid/>
          <w:kern w:val="0"/>
          <w:lang w:eastAsia="zh-CN" w:bidi="ar-SA"/>
          <w14:ligatures w14:val="none"/>
        </w:rPr>
        <w:commentReference w:id="54"/>
      </w:r>
    </w:p>
    <w:p w14:paraId="55F3D36E" w14:textId="77777777" w:rsidR="00FB785E" w:rsidRPr="004825BB" w:rsidRDefault="00FB785E" w:rsidP="00157D56">
      <w:pPr>
        <w:pStyle w:val="MDPI31text"/>
      </w:pPr>
      <w:r w:rsidRPr="004825BB">
        <w:t xml:space="preserve">Treatment delay due to the COVID-19 pandemic has been limited in our department in comparison with other settings, as anti-VEGF treatment was guaranteed for </w:t>
      </w:r>
      <w:proofErr w:type="spellStart"/>
      <w:r w:rsidRPr="004825BB">
        <w:t>nAMD</w:t>
      </w:r>
      <w:proofErr w:type="spellEnd"/>
      <w:r w:rsidRPr="004825BB">
        <w:t xml:space="preserve"> patients and appointments were infrequently deferred [40]. However, it is concerning that certain patients who lived far away from the hospital could not attend their appointments due to the cancellation of public transportation services or not having anyone who could bring them to the hospital.</w:t>
      </w:r>
    </w:p>
    <w:p w14:paraId="0602FAC8" w14:textId="77777777" w:rsidR="00FB785E" w:rsidRPr="004825BB" w:rsidRDefault="00FB785E" w:rsidP="00157D56">
      <w:pPr>
        <w:pStyle w:val="MDPI31text"/>
      </w:pPr>
      <w:r w:rsidRPr="004825BB">
        <w:t xml:space="preserve">The present study has some limitations. It involved a sample of </w:t>
      </w:r>
      <w:proofErr w:type="spellStart"/>
      <w:r w:rsidRPr="004825BB">
        <w:t>nAMD</w:t>
      </w:r>
      <w:proofErr w:type="spellEnd"/>
      <w:r w:rsidRPr="004825BB">
        <w:t xml:space="preserve"> patients from a unique hospital with geographical and socioeconomic peculiarities that could make generalization of the conclusions difficult. Nevertheless, this could be comparable to the difficulties encountered in similar regions with other very old or sparse populations, the number of which are increasing, particularly in Spain and generally in Europe. The bias implicit in the panel study design has already been mentioned. Despite these drawbacks, this study shed light on many aspects of the impact of anti-VEGF on patients’ lives.</w:t>
      </w:r>
    </w:p>
    <w:p w14:paraId="3B5B79A3" w14:textId="77777777" w:rsidR="00FB785E" w:rsidRPr="004825BB" w:rsidRDefault="00FB785E" w:rsidP="00157D56">
      <w:pPr>
        <w:pStyle w:val="MDPI31text"/>
      </w:pPr>
      <w:r w:rsidRPr="004825BB">
        <w:rPr>
          <w:color w:val="auto"/>
        </w:rPr>
        <w:t xml:space="preserve">The present </w:t>
      </w:r>
      <w:r w:rsidR="000913E3">
        <w:rPr>
          <w:color w:val="auto"/>
        </w:rPr>
        <w:t>study</w:t>
      </w:r>
      <w:r w:rsidR="000913E3" w:rsidRPr="004825BB">
        <w:rPr>
          <w:color w:val="auto"/>
        </w:rPr>
        <w:t xml:space="preserve"> </w:t>
      </w:r>
      <w:r w:rsidRPr="004825BB">
        <w:rPr>
          <w:color w:val="auto"/>
        </w:rPr>
        <w:t xml:space="preserve">highlights </w:t>
      </w:r>
      <w:proofErr w:type="spellStart"/>
      <w:r w:rsidRPr="004825BB">
        <w:rPr>
          <w:color w:val="auto"/>
        </w:rPr>
        <w:t>nAMD</w:t>
      </w:r>
      <w:proofErr w:type="spellEnd"/>
      <w:r w:rsidRPr="004825BB">
        <w:rPr>
          <w:color w:val="auto"/>
        </w:rPr>
        <w:t xml:space="preserve"> patients’ needs, considering the worsening </w:t>
      </w:r>
      <w:proofErr w:type="spellStart"/>
      <w:r w:rsidRPr="004825BB">
        <w:rPr>
          <w:color w:val="auto"/>
        </w:rPr>
        <w:t>HRQoL</w:t>
      </w:r>
      <w:proofErr w:type="spellEnd"/>
      <w:r w:rsidR="000913E3">
        <w:rPr>
          <w:color w:val="auto"/>
        </w:rPr>
        <w:t>,</w:t>
      </w:r>
      <w:r w:rsidRPr="004825BB">
        <w:rPr>
          <w:color w:val="auto"/>
        </w:rPr>
        <w:t xml:space="preserve"> </w:t>
      </w:r>
      <w:r w:rsidR="000913E3">
        <w:rPr>
          <w:color w:val="auto"/>
        </w:rPr>
        <w:t>e</w:t>
      </w:r>
      <w:r w:rsidRPr="004825BB">
        <w:rPr>
          <w:color w:val="auto"/>
        </w:rPr>
        <w:t xml:space="preserve">specially in self-care and motility problems that should be addressed by health authorities, </w:t>
      </w:r>
      <w:r w:rsidR="006860F7">
        <w:rPr>
          <w:color w:val="auto"/>
        </w:rPr>
        <w:t>particularly</w:t>
      </w:r>
      <w:r w:rsidR="006860F7" w:rsidRPr="004825BB">
        <w:rPr>
          <w:color w:val="auto"/>
        </w:rPr>
        <w:t xml:space="preserve"> </w:t>
      </w:r>
      <w:r w:rsidRPr="004825BB">
        <w:rPr>
          <w:color w:val="auto"/>
        </w:rPr>
        <w:t xml:space="preserve">for those patients we have identified to have </w:t>
      </w:r>
      <w:r w:rsidRPr="004825BB">
        <w:t>less support. Finally, Spanish and European health stakeholders are challenged to meet the specific needs of regions with an aging and dispersed population, such as ours.</w:t>
      </w:r>
    </w:p>
    <w:p w14:paraId="3F5637C9" w14:textId="77777777" w:rsidR="00FB785E" w:rsidRPr="004825BB" w:rsidRDefault="00157D56" w:rsidP="00157D56">
      <w:pPr>
        <w:pStyle w:val="MDPI21heading1"/>
      </w:pPr>
      <w:r w:rsidRPr="004825BB">
        <w:t xml:space="preserve">5. </w:t>
      </w:r>
      <w:r w:rsidR="00FB785E" w:rsidRPr="004825BB">
        <w:t>Conclusions</w:t>
      </w:r>
    </w:p>
    <w:p w14:paraId="69A6DE21" w14:textId="77777777" w:rsidR="00FB785E" w:rsidRPr="004825BB" w:rsidRDefault="00FB785E" w:rsidP="00157D56">
      <w:pPr>
        <w:pStyle w:val="MDPI31text"/>
      </w:pPr>
      <w:r w:rsidRPr="004825BB">
        <w:t xml:space="preserve">Patients under intravitreal treatment in our study usually enjoyed good social support. In general, </w:t>
      </w:r>
      <w:proofErr w:type="spellStart"/>
      <w:r w:rsidRPr="004825BB">
        <w:t>HRQoL</w:t>
      </w:r>
      <w:proofErr w:type="spellEnd"/>
      <w:r w:rsidRPr="004825BB">
        <w:t xml:space="preserve"> measured with generic instruments was not worse in patients with </w:t>
      </w:r>
      <w:proofErr w:type="spellStart"/>
      <w:r w:rsidRPr="004825BB">
        <w:t>nAMD</w:t>
      </w:r>
      <w:proofErr w:type="spellEnd"/>
      <w:r w:rsidRPr="004825BB">
        <w:t xml:space="preserve"> than in the general population, although females, older patients</w:t>
      </w:r>
      <w:r w:rsidR="005502E7">
        <w:t>,</w:t>
      </w:r>
      <w:r w:rsidRPr="004825BB">
        <w:t xml:space="preserve"> and patients </w:t>
      </w:r>
      <w:r w:rsidRPr="004825BB">
        <w:lastRenderedPageBreak/>
        <w:t xml:space="preserve">with bilateral disease leading to poor bilateral VA and therefore greater visual impairment had worse markers. Patients perceived a worsening in QoL after </w:t>
      </w:r>
      <w:r w:rsidRPr="00D65B59">
        <w:t>confinement.</w:t>
      </w:r>
    </w:p>
    <w:p w14:paraId="41A47619" w14:textId="77777777" w:rsidR="00FB785E" w:rsidRDefault="00157D56" w:rsidP="00157D56">
      <w:pPr>
        <w:pStyle w:val="MDPI62BackMatter"/>
        <w:spacing w:before="240"/>
      </w:pPr>
      <w:commentRangeStart w:id="55"/>
      <w:commentRangeStart w:id="56"/>
      <w:r w:rsidRPr="007F56BB">
        <w:rPr>
          <w:b/>
          <w:highlight w:val="yellow"/>
        </w:rPr>
        <w:t>Author Contribution</w:t>
      </w:r>
      <w:r w:rsidR="00FB785E" w:rsidRPr="007F56BB">
        <w:rPr>
          <w:b/>
          <w:highlight w:val="yellow"/>
        </w:rPr>
        <w:t>s:</w:t>
      </w:r>
      <w:r w:rsidR="00FB785E" w:rsidRPr="004825BB">
        <w:rPr>
          <w:b/>
        </w:rPr>
        <w:t xml:space="preserve"> </w:t>
      </w:r>
      <w:commentRangeEnd w:id="55"/>
      <w:r w:rsidR="007F56BB">
        <w:rPr>
          <w:rStyle w:val="Refdecomentario"/>
          <w:rFonts w:eastAsia="SimSun"/>
          <w:noProof/>
          <w:snapToGrid/>
          <w:kern w:val="0"/>
          <w:lang w:eastAsia="zh-CN" w:bidi="ar-SA"/>
          <w14:ligatures w14:val="none"/>
        </w:rPr>
        <w:commentReference w:id="55"/>
      </w:r>
      <w:commentRangeEnd w:id="56"/>
      <w:r w:rsidR="00642933">
        <w:rPr>
          <w:rStyle w:val="Refdecomentario"/>
          <w:rFonts w:eastAsia="SimSun"/>
          <w:snapToGrid/>
          <w:kern w:val="0"/>
          <w:lang w:eastAsia="zh-CN" w:bidi="ar-SA"/>
          <w14:ligatures w14:val="none"/>
        </w:rPr>
        <w:commentReference w:id="56"/>
      </w:r>
      <w:r w:rsidR="00FB785E" w:rsidRPr="004825BB">
        <w:rPr>
          <w:bCs/>
          <w:iCs/>
        </w:rPr>
        <w:t>M</w:t>
      </w:r>
      <w:r w:rsidR="0098349A" w:rsidRPr="004825BB">
        <w:rPr>
          <w:bCs/>
          <w:iCs/>
        </w:rPr>
        <w:t>.</w:t>
      </w:r>
      <w:r w:rsidR="00FB785E" w:rsidRPr="004825BB">
        <w:rPr>
          <w:bCs/>
          <w:iCs/>
        </w:rPr>
        <w:t>R</w:t>
      </w:r>
      <w:r w:rsidR="0098349A" w:rsidRPr="004825BB">
        <w:rPr>
          <w:bCs/>
          <w:iCs/>
        </w:rPr>
        <w:t>.</w:t>
      </w:r>
      <w:r w:rsidR="00FB785E" w:rsidRPr="004825BB">
        <w:rPr>
          <w:bCs/>
          <w:iCs/>
        </w:rPr>
        <w:t>S</w:t>
      </w:r>
      <w:r w:rsidR="0098349A" w:rsidRPr="004825BB">
        <w:rPr>
          <w:bCs/>
          <w:iCs/>
        </w:rPr>
        <w:t>.</w:t>
      </w:r>
      <w:r w:rsidR="00482D98">
        <w:rPr>
          <w:bCs/>
          <w:iCs/>
        </w:rPr>
        <w:t>:</w:t>
      </w:r>
      <w:r w:rsidR="00FB785E" w:rsidRPr="004825BB">
        <w:t xml:space="preserve"> </w:t>
      </w:r>
      <w:r w:rsidR="00482D98">
        <w:t>c</w:t>
      </w:r>
      <w:r w:rsidR="00FB785E" w:rsidRPr="004825BB">
        <w:t xml:space="preserve">onception and design, analysis and interpretation, </w:t>
      </w:r>
      <w:r w:rsidR="00482D98">
        <w:t xml:space="preserve">and </w:t>
      </w:r>
      <w:r w:rsidR="00FB785E" w:rsidRPr="004825BB">
        <w:t>writing of the manuscript. P</w:t>
      </w:r>
      <w:r w:rsidR="0098349A" w:rsidRPr="004825BB">
        <w:t>.</w:t>
      </w:r>
      <w:r w:rsidR="00FB785E" w:rsidRPr="004825BB">
        <w:t>S</w:t>
      </w:r>
      <w:r w:rsidR="0098349A" w:rsidRPr="004825BB">
        <w:t>.</w:t>
      </w:r>
      <w:r w:rsidR="00FB785E" w:rsidRPr="004825BB">
        <w:t>C</w:t>
      </w:r>
      <w:r w:rsidR="0098349A" w:rsidRPr="004825BB">
        <w:t>.-</w:t>
      </w:r>
      <w:r w:rsidR="00FB785E" w:rsidRPr="004825BB">
        <w:t>M</w:t>
      </w:r>
      <w:r w:rsidR="0098349A" w:rsidRPr="004825BB">
        <w:t>.</w:t>
      </w:r>
      <w:r w:rsidR="00482D98">
        <w:t>:</w:t>
      </w:r>
      <w:r w:rsidR="00FB785E" w:rsidRPr="004825BB">
        <w:t xml:space="preserve"> </w:t>
      </w:r>
      <w:r w:rsidR="00482D98">
        <w:t>d</w:t>
      </w:r>
      <w:r w:rsidR="00FB785E" w:rsidRPr="004825BB">
        <w:t xml:space="preserve">ata collection </w:t>
      </w:r>
      <w:r w:rsidR="00482D98">
        <w:t xml:space="preserve">and </w:t>
      </w:r>
      <w:r w:rsidR="00FB785E" w:rsidRPr="004825BB">
        <w:t>analysis and interpretation. A</w:t>
      </w:r>
      <w:r w:rsidR="0098349A" w:rsidRPr="004825BB">
        <w:t>.</w:t>
      </w:r>
      <w:r w:rsidR="00FB785E" w:rsidRPr="004825BB">
        <w:t>M</w:t>
      </w:r>
      <w:r w:rsidR="0098349A" w:rsidRPr="004825BB">
        <w:t>.</w:t>
      </w:r>
      <w:r w:rsidR="00FB785E" w:rsidRPr="004825BB">
        <w:t>A</w:t>
      </w:r>
      <w:r w:rsidR="0098349A" w:rsidRPr="004825BB">
        <w:t>.-</w:t>
      </w:r>
      <w:r w:rsidR="00FB785E" w:rsidRPr="004825BB">
        <w:t>T</w:t>
      </w:r>
      <w:r w:rsidR="0098349A" w:rsidRPr="004825BB">
        <w:t>.</w:t>
      </w:r>
      <w:r w:rsidR="00482D98">
        <w:t>:</w:t>
      </w:r>
      <w:r w:rsidR="00FB785E" w:rsidRPr="004825BB">
        <w:t xml:space="preserve"> </w:t>
      </w:r>
      <w:r w:rsidR="00482D98">
        <w:t>d</w:t>
      </w:r>
      <w:r w:rsidR="00FB785E" w:rsidRPr="004825BB">
        <w:t>ata collection. R</w:t>
      </w:r>
      <w:r w:rsidR="0098349A" w:rsidRPr="004825BB">
        <w:t>.</w:t>
      </w:r>
      <w:r w:rsidR="00FB785E" w:rsidRPr="004825BB">
        <w:t>M</w:t>
      </w:r>
      <w:r w:rsidR="0098349A" w:rsidRPr="004825BB">
        <w:t>.</w:t>
      </w:r>
      <w:r w:rsidR="00FB785E" w:rsidRPr="004825BB">
        <w:t>C</w:t>
      </w:r>
      <w:r w:rsidR="0098349A" w:rsidRPr="004825BB">
        <w:t>.-</w:t>
      </w:r>
      <w:r w:rsidR="00FB785E" w:rsidRPr="004825BB">
        <w:t>M</w:t>
      </w:r>
      <w:r w:rsidR="0098349A" w:rsidRPr="004825BB">
        <w:t>.</w:t>
      </w:r>
      <w:r w:rsidR="00482D98">
        <w:t>:</w:t>
      </w:r>
      <w:r w:rsidR="00FB785E" w:rsidRPr="004825BB">
        <w:t xml:space="preserve"> </w:t>
      </w:r>
      <w:r w:rsidR="00482D98">
        <w:t>a</w:t>
      </w:r>
      <w:r w:rsidR="00FB785E" w:rsidRPr="004825BB">
        <w:t>nalysis and interpretation</w:t>
      </w:r>
      <w:r w:rsidR="004334F5">
        <w:t xml:space="preserve"> and</w:t>
      </w:r>
      <w:r w:rsidR="00FB785E" w:rsidRPr="004825BB">
        <w:t xml:space="preserve"> writing</w:t>
      </w:r>
      <w:r w:rsidR="004C053D" w:rsidRPr="004825BB">
        <w:t>—</w:t>
      </w:r>
      <w:r w:rsidR="00FB785E" w:rsidRPr="004825BB">
        <w:t>review. A</w:t>
      </w:r>
      <w:r w:rsidR="0098349A" w:rsidRPr="004825BB">
        <w:t>.</w:t>
      </w:r>
      <w:r w:rsidR="00FB785E" w:rsidRPr="004825BB">
        <w:t>M</w:t>
      </w:r>
      <w:r w:rsidR="0098349A" w:rsidRPr="004825BB">
        <w:t>.-</w:t>
      </w:r>
      <w:r w:rsidR="00FB785E" w:rsidRPr="004825BB">
        <w:t>I</w:t>
      </w:r>
      <w:r w:rsidR="0098349A" w:rsidRPr="004825BB">
        <w:t>.</w:t>
      </w:r>
      <w:r w:rsidR="004334F5">
        <w:t>:</w:t>
      </w:r>
      <w:r w:rsidR="00FB785E" w:rsidRPr="004825BB">
        <w:t xml:space="preserve"> </w:t>
      </w:r>
      <w:r w:rsidR="004334F5">
        <w:t>s</w:t>
      </w:r>
      <w:r w:rsidR="00FB785E" w:rsidRPr="004825BB">
        <w:t xml:space="preserve">tatistical analysis and interpretation. </w:t>
      </w:r>
      <w:r w:rsidR="00BC66C6" w:rsidRPr="004825BB">
        <w:t>All authors have read and agreed to the published version of the manuscript.</w:t>
      </w:r>
    </w:p>
    <w:p w14:paraId="5D537C50" w14:textId="77777777" w:rsidR="00FB785E" w:rsidRPr="00775F40" w:rsidRDefault="00FB785E" w:rsidP="00157D56">
      <w:pPr>
        <w:pStyle w:val="MDPI62BackMatter"/>
        <w:rPr>
          <w:lang w:val="es-ES"/>
        </w:rPr>
      </w:pPr>
      <w:commentRangeStart w:id="58"/>
      <w:commentRangeStart w:id="59"/>
      <w:r w:rsidRPr="004825BB">
        <w:rPr>
          <w:b/>
          <w:highlight w:val="yellow"/>
        </w:rPr>
        <w:t>Funding</w:t>
      </w:r>
      <w:commentRangeEnd w:id="58"/>
      <w:r w:rsidR="00157D56" w:rsidRPr="004825BB">
        <w:rPr>
          <w:rStyle w:val="Refdecomentario"/>
          <w:rFonts w:eastAsia="SimSun"/>
          <w:b/>
          <w:snapToGrid/>
          <w:kern w:val="0"/>
          <w:highlight w:val="yellow"/>
          <w:lang w:eastAsia="zh-CN" w:bidi="ar-SA"/>
          <w14:ligatures w14:val="none"/>
        </w:rPr>
        <w:commentReference w:id="58"/>
      </w:r>
      <w:commentRangeEnd w:id="59"/>
      <w:r w:rsidR="00642933">
        <w:rPr>
          <w:rStyle w:val="Refdecomentario"/>
          <w:rFonts w:eastAsia="SimSun"/>
          <w:snapToGrid/>
          <w:kern w:val="0"/>
          <w:lang w:eastAsia="zh-CN" w:bidi="ar-SA"/>
          <w14:ligatures w14:val="none"/>
        </w:rPr>
        <w:commentReference w:id="59"/>
      </w:r>
      <w:r w:rsidRPr="004825BB">
        <w:rPr>
          <w:b/>
        </w:rPr>
        <w:t>:</w:t>
      </w:r>
      <w:r w:rsidRPr="004825BB">
        <w:t xml:space="preserve"> This research was supported by a grant from </w:t>
      </w:r>
      <w:proofErr w:type="spellStart"/>
      <w:r w:rsidRPr="004825BB">
        <w:t>Gerencia</w:t>
      </w:r>
      <w:proofErr w:type="spellEnd"/>
      <w:r w:rsidRPr="004825BB">
        <w:t xml:space="preserve"> Regional de </w:t>
      </w:r>
      <w:proofErr w:type="spellStart"/>
      <w:r w:rsidRPr="004825BB">
        <w:t>Salud</w:t>
      </w:r>
      <w:proofErr w:type="spellEnd"/>
      <w:r w:rsidRPr="004825BB">
        <w:t xml:space="preserve"> de Castilla-León (GRS 2111/A/19). </w:t>
      </w:r>
      <w:r w:rsidRPr="00775F40">
        <w:rPr>
          <w:lang w:val="es-ES"/>
        </w:rPr>
        <w:t>Agustín Mayo-</w:t>
      </w:r>
      <w:proofErr w:type="spellStart"/>
      <w:r w:rsidRPr="00775F40">
        <w:rPr>
          <w:lang w:val="es-ES"/>
        </w:rPr>
        <w:t>Iscar</w:t>
      </w:r>
      <w:proofErr w:type="spellEnd"/>
      <w:r w:rsidRPr="00775F40">
        <w:rPr>
          <w:lang w:val="es-ES"/>
        </w:rPr>
        <w:t xml:space="preserve"> has </w:t>
      </w:r>
      <w:proofErr w:type="spellStart"/>
      <w:r w:rsidRPr="00775F40">
        <w:rPr>
          <w:lang w:val="es-ES"/>
        </w:rPr>
        <w:t>been</w:t>
      </w:r>
      <w:proofErr w:type="spellEnd"/>
      <w:r w:rsidRPr="00775F40">
        <w:rPr>
          <w:lang w:val="es-ES"/>
        </w:rPr>
        <w:t xml:space="preserve"> </w:t>
      </w:r>
      <w:proofErr w:type="spellStart"/>
      <w:r w:rsidRPr="00775F40">
        <w:rPr>
          <w:lang w:val="es-ES"/>
        </w:rPr>
        <w:t>partially</w:t>
      </w:r>
      <w:proofErr w:type="spellEnd"/>
      <w:r w:rsidRPr="00775F40">
        <w:rPr>
          <w:lang w:val="es-ES"/>
        </w:rPr>
        <w:t xml:space="preserve"> </w:t>
      </w:r>
      <w:proofErr w:type="spellStart"/>
      <w:r w:rsidRPr="00775F40">
        <w:rPr>
          <w:lang w:val="es-ES"/>
        </w:rPr>
        <w:t>supported</w:t>
      </w:r>
      <w:proofErr w:type="spellEnd"/>
      <w:r w:rsidRPr="00775F40">
        <w:rPr>
          <w:lang w:val="es-ES"/>
        </w:rPr>
        <w:t xml:space="preserve"> </w:t>
      </w:r>
      <w:proofErr w:type="spellStart"/>
      <w:r w:rsidRPr="00775F40">
        <w:rPr>
          <w:lang w:val="es-ES"/>
        </w:rPr>
        <w:t>by</w:t>
      </w:r>
      <w:proofErr w:type="spellEnd"/>
      <w:r w:rsidRPr="00775F40">
        <w:rPr>
          <w:lang w:val="es-ES"/>
        </w:rPr>
        <w:t xml:space="preserve"> </w:t>
      </w:r>
      <w:proofErr w:type="spellStart"/>
      <w:r w:rsidRPr="00775F40">
        <w:rPr>
          <w:lang w:val="es-ES"/>
        </w:rPr>
        <w:t>Spanish</w:t>
      </w:r>
      <w:proofErr w:type="spellEnd"/>
      <w:r w:rsidRPr="00775F40">
        <w:rPr>
          <w:lang w:val="es-ES"/>
        </w:rPr>
        <w:t xml:space="preserve"> Ministerio de Economía y Competitividad, </w:t>
      </w:r>
      <w:proofErr w:type="spellStart"/>
      <w:r w:rsidRPr="00775F40">
        <w:rPr>
          <w:lang w:val="es-ES"/>
        </w:rPr>
        <w:t>grant</w:t>
      </w:r>
      <w:proofErr w:type="spellEnd"/>
      <w:r w:rsidRPr="00775F40">
        <w:rPr>
          <w:lang w:val="es-ES"/>
        </w:rPr>
        <w:t xml:space="preserve"> MTM2017-86061-C2-1-P, and </w:t>
      </w:r>
      <w:proofErr w:type="spellStart"/>
      <w:r w:rsidRPr="00775F40">
        <w:rPr>
          <w:lang w:val="es-ES"/>
        </w:rPr>
        <w:t>by</w:t>
      </w:r>
      <w:proofErr w:type="spellEnd"/>
      <w:r w:rsidRPr="00775F40">
        <w:rPr>
          <w:lang w:val="es-ES"/>
        </w:rPr>
        <w:t xml:space="preserve"> Consejería de Educación de la Junta de Castilla y León and FEDER, </w:t>
      </w:r>
      <w:proofErr w:type="spellStart"/>
      <w:r w:rsidRPr="00775F40">
        <w:rPr>
          <w:lang w:val="es-ES"/>
        </w:rPr>
        <w:t>grants</w:t>
      </w:r>
      <w:proofErr w:type="spellEnd"/>
      <w:r w:rsidRPr="00775F40">
        <w:rPr>
          <w:lang w:val="es-ES"/>
        </w:rPr>
        <w:t xml:space="preserve"> VA005P17 and VA002G18.</w:t>
      </w:r>
    </w:p>
    <w:p w14:paraId="66D50418" w14:textId="77777777" w:rsidR="00FB785E" w:rsidRPr="004825BB" w:rsidRDefault="00FB785E" w:rsidP="00157D56">
      <w:pPr>
        <w:pStyle w:val="MDPI62BackMatter"/>
      </w:pPr>
      <w:bookmarkStart w:id="60" w:name="_Hlk89945590"/>
      <w:bookmarkStart w:id="61" w:name="_Hlk60054323"/>
      <w:r w:rsidRPr="004825BB">
        <w:rPr>
          <w:b/>
        </w:rPr>
        <w:t xml:space="preserve">Institutional Review Board Statement: </w:t>
      </w:r>
      <w:r w:rsidRPr="004825BB">
        <w:t xml:space="preserve">The study was </w:t>
      </w:r>
      <w:r w:rsidR="00294E9C">
        <w:t>conducted</w:t>
      </w:r>
      <w:r w:rsidR="00294E9C" w:rsidRPr="004825BB">
        <w:t xml:space="preserve"> </w:t>
      </w:r>
      <w:r w:rsidRPr="004825BB">
        <w:t>in accordance with the ethical principles of the Good Clinical Practice guidelines</w:t>
      </w:r>
      <w:r w:rsidR="00294E9C">
        <w:t>,</w:t>
      </w:r>
      <w:r w:rsidRPr="004825BB">
        <w:t xml:space="preserve"> the Declaration of Helsinki, and </w:t>
      </w:r>
      <w:r w:rsidR="00040D3C">
        <w:t xml:space="preserve">the </w:t>
      </w:r>
      <w:r w:rsidRPr="004825BB">
        <w:t xml:space="preserve">local laws </w:t>
      </w:r>
      <w:r w:rsidR="00040D3C">
        <w:t>of</w:t>
      </w:r>
      <w:r w:rsidR="00040D3C" w:rsidRPr="004825BB">
        <w:t xml:space="preserve"> </w:t>
      </w:r>
      <w:r w:rsidR="00040D3C">
        <w:t xml:space="preserve">the </w:t>
      </w:r>
      <w:r w:rsidRPr="004825BB">
        <w:t xml:space="preserve">countries in which the research was </w:t>
      </w:r>
      <w:r w:rsidR="00040D3C">
        <w:t>carried out</w:t>
      </w:r>
      <w:r w:rsidRPr="004825BB">
        <w:t>. The study protocol was approved by the Palencia University Hospital Complex (CAUPA) Research Ethics Committee.</w:t>
      </w:r>
    </w:p>
    <w:bookmarkEnd w:id="60"/>
    <w:p w14:paraId="150AF04D" w14:textId="77777777" w:rsidR="00FB785E" w:rsidRPr="004825BB" w:rsidRDefault="00FB785E" w:rsidP="00157D56">
      <w:pPr>
        <w:pStyle w:val="MDPI62BackMatter"/>
      </w:pPr>
      <w:r w:rsidRPr="004825BB">
        <w:rPr>
          <w:b/>
        </w:rPr>
        <w:t xml:space="preserve">Informed Consent Statement: </w:t>
      </w:r>
      <w:r w:rsidRPr="004825BB">
        <w:t xml:space="preserve">Informed consent was obtained from each participant by the interviewers (PSCM AMAT) before any study-specific screening procedures were </w:t>
      </w:r>
      <w:r w:rsidR="00040D3C">
        <w:t>completed</w:t>
      </w:r>
      <w:r w:rsidRPr="004825BB">
        <w:t>.</w:t>
      </w:r>
    </w:p>
    <w:bookmarkEnd w:id="61"/>
    <w:p w14:paraId="5FB17CCF" w14:textId="77777777" w:rsidR="00FB785E" w:rsidRPr="004825BB" w:rsidRDefault="00FB785E" w:rsidP="00157D56">
      <w:pPr>
        <w:pStyle w:val="MDPI62BackMatter"/>
      </w:pPr>
      <w:r w:rsidRPr="004825BB">
        <w:rPr>
          <w:b/>
        </w:rPr>
        <w:t xml:space="preserve">Data Availability Statement: </w:t>
      </w:r>
      <w:r w:rsidRPr="004825BB">
        <w:t>The data that support the findings of this study are available from the corresponding author upon reasonable request.</w:t>
      </w:r>
    </w:p>
    <w:p w14:paraId="370DEBF0" w14:textId="77777777" w:rsidR="00FB785E" w:rsidRPr="004825BB" w:rsidRDefault="00FB785E" w:rsidP="00157D56">
      <w:pPr>
        <w:pStyle w:val="MDPI62BackMatter"/>
      </w:pPr>
      <w:commentRangeStart w:id="62"/>
      <w:commentRangeStart w:id="63"/>
      <w:r w:rsidRPr="004825BB">
        <w:rPr>
          <w:b/>
          <w:highlight w:val="yellow"/>
        </w:rPr>
        <w:t>Acknowledgments</w:t>
      </w:r>
      <w:commentRangeEnd w:id="62"/>
      <w:r w:rsidR="00157D56" w:rsidRPr="004825BB">
        <w:rPr>
          <w:rStyle w:val="Refdecomentario"/>
          <w:rFonts w:eastAsia="SimSun"/>
          <w:b/>
          <w:snapToGrid/>
          <w:kern w:val="0"/>
          <w:highlight w:val="yellow"/>
          <w:lang w:eastAsia="zh-CN" w:bidi="ar-SA"/>
          <w14:ligatures w14:val="none"/>
        </w:rPr>
        <w:commentReference w:id="62"/>
      </w:r>
      <w:commentRangeEnd w:id="63"/>
      <w:r w:rsidR="00642933">
        <w:rPr>
          <w:rStyle w:val="Refdecomentario"/>
          <w:rFonts w:eastAsia="SimSun"/>
          <w:snapToGrid/>
          <w:kern w:val="0"/>
          <w:lang w:eastAsia="zh-CN" w:bidi="ar-SA"/>
          <w14:ligatures w14:val="none"/>
        </w:rPr>
        <w:commentReference w:id="63"/>
      </w:r>
      <w:r w:rsidRPr="004825BB">
        <w:rPr>
          <w:b/>
        </w:rPr>
        <w:t>:</w:t>
      </w:r>
      <w:r w:rsidRPr="004825BB">
        <w:t xml:space="preserve"> </w:t>
      </w:r>
      <w:r w:rsidR="00570913">
        <w:t>xxx</w:t>
      </w:r>
      <w:r w:rsidRPr="004825BB">
        <w:t>.</w:t>
      </w:r>
    </w:p>
    <w:p w14:paraId="2C212EC1" w14:textId="77777777" w:rsidR="00FB785E" w:rsidRPr="004825BB" w:rsidRDefault="00FB785E" w:rsidP="00157D56">
      <w:pPr>
        <w:pStyle w:val="MDPI62BackMatter"/>
      </w:pPr>
      <w:r w:rsidRPr="004825BB">
        <w:rPr>
          <w:b/>
        </w:rPr>
        <w:t xml:space="preserve">Conflicts of Interest: </w:t>
      </w:r>
      <w:r w:rsidR="00BC693E" w:rsidRPr="004825BB">
        <w:t>The authors declare no conflict of interest.</w:t>
      </w:r>
    </w:p>
    <w:p w14:paraId="100B706B" w14:textId="77777777" w:rsidR="00FB785E" w:rsidRPr="004825BB" w:rsidRDefault="00FB785E" w:rsidP="00157D56">
      <w:pPr>
        <w:pStyle w:val="MDPI21heading1"/>
        <w:ind w:left="0"/>
      </w:pPr>
      <w:commentRangeStart w:id="64"/>
      <w:commentRangeStart w:id="65"/>
      <w:r w:rsidRPr="00DC0E6D">
        <w:rPr>
          <w:highlight w:val="yellow"/>
        </w:rPr>
        <w:t>References</w:t>
      </w:r>
      <w:commentRangeEnd w:id="64"/>
      <w:r w:rsidR="00DC0E6D">
        <w:rPr>
          <w:rStyle w:val="Refdecomentario"/>
          <w:rFonts w:eastAsia="SimSun"/>
          <w:b w:val="0"/>
          <w:noProof/>
          <w:snapToGrid/>
          <w:kern w:val="0"/>
          <w:lang w:eastAsia="zh-CN" w:bidi="ar-SA"/>
          <w14:ligatures w14:val="none"/>
        </w:rPr>
        <w:commentReference w:id="64"/>
      </w:r>
      <w:commentRangeEnd w:id="65"/>
      <w:r w:rsidR="008D18A2">
        <w:rPr>
          <w:rStyle w:val="Refdecomentario"/>
          <w:rFonts w:eastAsia="SimSun"/>
          <w:b w:val="0"/>
          <w:snapToGrid/>
          <w:kern w:val="0"/>
          <w:lang w:eastAsia="zh-CN" w:bidi="ar-SA"/>
          <w14:ligatures w14:val="none"/>
        </w:rPr>
        <w:commentReference w:id="65"/>
      </w:r>
    </w:p>
    <w:p w14:paraId="21E4653B" w14:textId="77777777" w:rsidR="00DC0E6D" w:rsidRPr="003F2FC5" w:rsidRDefault="00DC0E6D" w:rsidP="00DC0E6D">
      <w:pPr>
        <w:pStyle w:val="MDPI71References"/>
        <w:numPr>
          <w:ilvl w:val="0"/>
          <w:numId w:val="15"/>
        </w:numPr>
      </w:pPr>
      <w:bookmarkStart w:id="68" w:name="_Hlk90802361"/>
      <w:r>
        <w:t>Velez-Montoya, R.; Oliver, S.C.; Olson, J.L</w:t>
      </w:r>
      <w:r w:rsidRPr="003F2FC5">
        <w:t xml:space="preserve">.; Fine, S.L.; Quiroz-Mercado, H.; </w:t>
      </w:r>
      <w:proofErr w:type="spellStart"/>
      <w:r w:rsidRPr="003F2FC5">
        <w:t>Mandava</w:t>
      </w:r>
      <w:proofErr w:type="spellEnd"/>
      <w:r w:rsidRPr="003F2FC5">
        <w:t xml:space="preserve">, N. Current knowledge and trends in age related macular degeneration: Genetics, epidemiology, and prevention. </w:t>
      </w:r>
      <w:r w:rsidRPr="003F2FC5">
        <w:rPr>
          <w:i/>
          <w:iCs/>
        </w:rPr>
        <w:t>Retina</w:t>
      </w:r>
      <w:r w:rsidRPr="003F2FC5">
        <w:t xml:space="preserve"> </w:t>
      </w:r>
      <w:r w:rsidRPr="003F2FC5">
        <w:rPr>
          <w:b/>
        </w:rPr>
        <w:t>2014</w:t>
      </w:r>
      <w:r w:rsidRPr="003F2FC5">
        <w:t xml:space="preserve">, </w:t>
      </w:r>
      <w:r w:rsidRPr="003F2FC5">
        <w:rPr>
          <w:i/>
        </w:rPr>
        <w:t>34</w:t>
      </w:r>
      <w:r w:rsidRPr="003F2FC5">
        <w:t>, 423–441. https://doi.org/10.1097/IAE.0000000000000036.</w:t>
      </w:r>
    </w:p>
    <w:p w14:paraId="520C504A" w14:textId="77777777" w:rsidR="00DC0E6D" w:rsidRPr="003F2FC5" w:rsidRDefault="00DC0E6D" w:rsidP="00DC0E6D">
      <w:pPr>
        <w:pStyle w:val="MDPI71References"/>
        <w:numPr>
          <w:ilvl w:val="0"/>
          <w:numId w:val="15"/>
        </w:numPr>
      </w:pPr>
      <w:r w:rsidRPr="003F2FC5">
        <w:t xml:space="preserve">Kim, L.A.; </w:t>
      </w:r>
      <w:proofErr w:type="spellStart"/>
      <w:r w:rsidRPr="003F2FC5">
        <w:t>D’Amore</w:t>
      </w:r>
      <w:proofErr w:type="spellEnd"/>
      <w:r w:rsidRPr="003F2FC5">
        <w:t xml:space="preserve">, P.A. A brief history of anti-VEGF for the treatment of ocular angiogenesis. </w:t>
      </w:r>
      <w:r w:rsidRPr="003F2FC5">
        <w:rPr>
          <w:i/>
          <w:iCs/>
        </w:rPr>
        <w:t xml:space="preserve">Am. J. </w:t>
      </w:r>
      <w:proofErr w:type="spellStart"/>
      <w:r w:rsidRPr="003F2FC5">
        <w:rPr>
          <w:i/>
          <w:iCs/>
        </w:rPr>
        <w:t>Pathol</w:t>
      </w:r>
      <w:proofErr w:type="spellEnd"/>
      <w:r w:rsidRPr="003F2FC5">
        <w:t xml:space="preserve">. </w:t>
      </w:r>
      <w:r w:rsidRPr="003F2FC5">
        <w:rPr>
          <w:b/>
        </w:rPr>
        <w:t>2012</w:t>
      </w:r>
      <w:r w:rsidRPr="003F2FC5">
        <w:t xml:space="preserve">, </w:t>
      </w:r>
      <w:r w:rsidRPr="003F2FC5">
        <w:rPr>
          <w:i/>
        </w:rPr>
        <w:t>181</w:t>
      </w:r>
      <w:r w:rsidRPr="003F2FC5">
        <w:t>, 376–379. https://doi.org/10.1016/j.ajpath.2012.06.006.</w:t>
      </w:r>
    </w:p>
    <w:p w14:paraId="3D710824" w14:textId="77777777" w:rsidR="00DC0E6D" w:rsidRPr="008F6AC4" w:rsidRDefault="00DC0E6D" w:rsidP="00DC0E6D">
      <w:pPr>
        <w:pStyle w:val="MDPI71References"/>
        <w:numPr>
          <w:ilvl w:val="0"/>
          <w:numId w:val="15"/>
        </w:numPr>
        <w:rPr>
          <w:spacing w:val="-4"/>
        </w:rPr>
      </w:pPr>
      <w:r w:rsidRPr="008F6AC4">
        <w:rPr>
          <w:spacing w:val="-4"/>
        </w:rPr>
        <w:t xml:space="preserve">Finger, R.P.; </w:t>
      </w:r>
      <w:proofErr w:type="spellStart"/>
      <w:r w:rsidRPr="008F6AC4">
        <w:rPr>
          <w:spacing w:val="-4"/>
        </w:rPr>
        <w:t>Daien</w:t>
      </w:r>
      <w:proofErr w:type="spellEnd"/>
      <w:r w:rsidRPr="008F6AC4">
        <w:rPr>
          <w:spacing w:val="-4"/>
        </w:rPr>
        <w:t xml:space="preserve">, V.; </w:t>
      </w:r>
      <w:proofErr w:type="spellStart"/>
      <w:r w:rsidRPr="008F6AC4">
        <w:rPr>
          <w:spacing w:val="-4"/>
        </w:rPr>
        <w:t>Eldem</w:t>
      </w:r>
      <w:proofErr w:type="spellEnd"/>
      <w:r w:rsidRPr="008F6AC4">
        <w:rPr>
          <w:spacing w:val="-4"/>
        </w:rPr>
        <w:t xml:space="preserve">, B.M.; Talks, J.S.; </w:t>
      </w:r>
      <w:proofErr w:type="spellStart"/>
      <w:r w:rsidRPr="008F6AC4">
        <w:rPr>
          <w:spacing w:val="-4"/>
        </w:rPr>
        <w:t>Korobelnik</w:t>
      </w:r>
      <w:proofErr w:type="spellEnd"/>
      <w:r w:rsidRPr="008F6AC4">
        <w:rPr>
          <w:spacing w:val="-4"/>
        </w:rPr>
        <w:t xml:space="preserve">, J.-F.; Mitchell, P.; Sakamoto, T.; Wong, T.Y.; </w:t>
      </w:r>
      <w:proofErr w:type="spellStart"/>
      <w:r w:rsidRPr="008F6AC4">
        <w:rPr>
          <w:spacing w:val="-4"/>
        </w:rPr>
        <w:t>Pantiri</w:t>
      </w:r>
      <w:proofErr w:type="spellEnd"/>
      <w:r w:rsidRPr="008F6AC4">
        <w:rPr>
          <w:spacing w:val="-4"/>
        </w:rPr>
        <w:t xml:space="preserve">, K.; Carrasco, J. Anti-vascular endothelial growth factor in neovascular age-related macular degeneration—A systematic review of the impact of anti-VEGF on patient outcomes and healthcare systems. </w:t>
      </w:r>
      <w:r w:rsidRPr="008F6AC4">
        <w:rPr>
          <w:i/>
          <w:iCs/>
          <w:spacing w:val="-4"/>
        </w:rPr>
        <w:t xml:space="preserve">BMC </w:t>
      </w:r>
      <w:proofErr w:type="spellStart"/>
      <w:r w:rsidRPr="008F6AC4">
        <w:rPr>
          <w:i/>
          <w:iCs/>
          <w:spacing w:val="-4"/>
        </w:rPr>
        <w:t>Ophthalmol</w:t>
      </w:r>
      <w:proofErr w:type="spellEnd"/>
      <w:r w:rsidRPr="008F6AC4">
        <w:rPr>
          <w:spacing w:val="-4"/>
        </w:rPr>
        <w:t xml:space="preserve">. </w:t>
      </w:r>
      <w:r w:rsidRPr="008F6AC4">
        <w:rPr>
          <w:b/>
          <w:spacing w:val="-4"/>
        </w:rPr>
        <w:t>2020</w:t>
      </w:r>
      <w:r w:rsidRPr="008F6AC4">
        <w:rPr>
          <w:spacing w:val="-4"/>
        </w:rPr>
        <w:t xml:space="preserve">, </w:t>
      </w:r>
      <w:r w:rsidRPr="008F6AC4">
        <w:rPr>
          <w:i/>
          <w:spacing w:val="-4"/>
        </w:rPr>
        <w:t>20</w:t>
      </w:r>
      <w:r w:rsidRPr="008F6AC4">
        <w:rPr>
          <w:spacing w:val="-4"/>
        </w:rPr>
        <w:t>, 294. https://doi.org/10.1186/s12886-020-01554-2.</w:t>
      </w:r>
    </w:p>
    <w:p w14:paraId="34521E14" w14:textId="77777777" w:rsidR="00DC0E6D" w:rsidRPr="003F2FC5" w:rsidRDefault="00DC0E6D" w:rsidP="00DC0E6D">
      <w:pPr>
        <w:pStyle w:val="MDPI71References"/>
        <w:numPr>
          <w:ilvl w:val="0"/>
          <w:numId w:val="15"/>
        </w:numPr>
      </w:pPr>
      <w:r w:rsidRPr="003F2FC5">
        <w:t xml:space="preserve">GBD 2019 Blindness and Vision Impairment Collaborators; Vision Loss Expert Group of the Global Burden of Disease Study. Causes of blindness and vision impairment in 2020 and trends over 30 years, and prevalence of avoidable blindness in relation to VISION 2020, the right to sight: An analysis for the global burden of disease study. </w:t>
      </w:r>
      <w:r w:rsidRPr="003F2FC5">
        <w:rPr>
          <w:i/>
          <w:iCs/>
        </w:rPr>
        <w:t>Lancet Glob. Health</w:t>
      </w:r>
      <w:r w:rsidRPr="003F2FC5">
        <w:t xml:space="preserve">. </w:t>
      </w:r>
      <w:r w:rsidRPr="003F2FC5">
        <w:rPr>
          <w:b/>
        </w:rPr>
        <w:t>2021</w:t>
      </w:r>
      <w:r w:rsidRPr="003F2FC5">
        <w:t xml:space="preserve">, </w:t>
      </w:r>
      <w:r w:rsidRPr="003F2FC5">
        <w:rPr>
          <w:i/>
        </w:rPr>
        <w:t>9</w:t>
      </w:r>
      <w:r w:rsidRPr="003F2FC5">
        <w:t>, e144–60.</w:t>
      </w:r>
    </w:p>
    <w:p w14:paraId="4D58A64E" w14:textId="77777777" w:rsidR="00DC0E6D" w:rsidRPr="008F6AC4" w:rsidRDefault="00DC0E6D" w:rsidP="00DC0E6D">
      <w:pPr>
        <w:pStyle w:val="MDPI71References"/>
        <w:numPr>
          <w:ilvl w:val="0"/>
          <w:numId w:val="15"/>
        </w:numPr>
        <w:rPr>
          <w:spacing w:val="-4"/>
        </w:rPr>
      </w:pPr>
      <w:proofErr w:type="spellStart"/>
      <w:r w:rsidRPr="003F2FC5">
        <w:t>Ciulla</w:t>
      </w:r>
      <w:proofErr w:type="spellEnd"/>
      <w:r w:rsidRPr="003F2FC5">
        <w:t>, T.A.; Hussain, R.M.; Pollack, J.S.; Williams,</w:t>
      </w:r>
      <w:r>
        <w:t xml:space="preserve"> D.F.</w:t>
      </w:r>
      <w:r w:rsidRPr="005B13C8">
        <w:t xml:space="preserve"> </w:t>
      </w:r>
      <w:r w:rsidRPr="003F2FC5">
        <w:t xml:space="preserve">Visual acuity outcomes and anti-vascular endothelial growth factor </w:t>
      </w:r>
      <w:r w:rsidRPr="008F6AC4">
        <w:rPr>
          <w:spacing w:val="-4"/>
        </w:rPr>
        <w:t xml:space="preserve">therapy intensity in neovascular age-related macular degeneration patients: A real-world analysis of 49 485 eyes. </w:t>
      </w:r>
      <w:proofErr w:type="spellStart"/>
      <w:r w:rsidRPr="008F6AC4">
        <w:rPr>
          <w:i/>
          <w:iCs/>
          <w:spacing w:val="-4"/>
        </w:rPr>
        <w:t>Ophthalmol</w:t>
      </w:r>
      <w:proofErr w:type="spellEnd"/>
      <w:r w:rsidRPr="008F6AC4">
        <w:rPr>
          <w:i/>
          <w:iCs/>
          <w:spacing w:val="-4"/>
        </w:rPr>
        <w:t xml:space="preserve"> Retina</w:t>
      </w:r>
      <w:r w:rsidRPr="008F6AC4">
        <w:rPr>
          <w:spacing w:val="-4"/>
        </w:rPr>
        <w:t xml:space="preserve"> </w:t>
      </w:r>
      <w:r w:rsidRPr="008F6AC4">
        <w:rPr>
          <w:b/>
          <w:spacing w:val="-4"/>
        </w:rPr>
        <w:t>2020</w:t>
      </w:r>
      <w:r w:rsidRPr="008F6AC4">
        <w:rPr>
          <w:spacing w:val="-4"/>
        </w:rPr>
        <w:t xml:space="preserve">, </w:t>
      </w:r>
      <w:r w:rsidRPr="008F6AC4">
        <w:rPr>
          <w:i/>
          <w:spacing w:val="-4"/>
        </w:rPr>
        <w:t>4</w:t>
      </w:r>
      <w:r w:rsidRPr="008F6AC4">
        <w:rPr>
          <w:spacing w:val="-4"/>
        </w:rPr>
        <w:t>, 19–30. https://doi.org/10.1016/j.oret.2019.05.017.</w:t>
      </w:r>
    </w:p>
    <w:p w14:paraId="5CF0CB49" w14:textId="77777777" w:rsidR="00DC0E6D" w:rsidRPr="008F6AC4" w:rsidRDefault="00DC0E6D" w:rsidP="00DC0E6D">
      <w:pPr>
        <w:pStyle w:val="MDPI71References"/>
        <w:numPr>
          <w:ilvl w:val="0"/>
          <w:numId w:val="15"/>
        </w:numPr>
        <w:rPr>
          <w:spacing w:val="-4"/>
        </w:rPr>
      </w:pPr>
      <w:r w:rsidRPr="008F6AC4">
        <w:rPr>
          <w:spacing w:val="-4"/>
        </w:rPr>
        <w:t xml:space="preserve">Taylor, D.J.; Hobby, A.E.; </w:t>
      </w:r>
      <w:proofErr w:type="spellStart"/>
      <w:r w:rsidRPr="008F6AC4">
        <w:rPr>
          <w:spacing w:val="-4"/>
        </w:rPr>
        <w:t>Binns</w:t>
      </w:r>
      <w:proofErr w:type="spellEnd"/>
      <w:r w:rsidRPr="008F6AC4">
        <w:rPr>
          <w:spacing w:val="-4"/>
        </w:rPr>
        <w:t xml:space="preserve">, A.M.; Crabb, D.P. How does age-related macular degeneration affect real-world visual ability and quality of life? A systematic review. </w:t>
      </w:r>
      <w:r w:rsidRPr="008F6AC4">
        <w:rPr>
          <w:i/>
          <w:iCs/>
          <w:spacing w:val="-4"/>
        </w:rPr>
        <w:t>BMJ Open</w:t>
      </w:r>
      <w:r w:rsidRPr="008F6AC4">
        <w:rPr>
          <w:spacing w:val="-4"/>
        </w:rPr>
        <w:t xml:space="preserve"> </w:t>
      </w:r>
      <w:r w:rsidRPr="008F6AC4">
        <w:rPr>
          <w:b/>
          <w:spacing w:val="-4"/>
        </w:rPr>
        <w:t>2016</w:t>
      </w:r>
      <w:r w:rsidRPr="008F6AC4">
        <w:rPr>
          <w:spacing w:val="-4"/>
        </w:rPr>
        <w:t xml:space="preserve">, </w:t>
      </w:r>
      <w:r w:rsidRPr="008F6AC4">
        <w:rPr>
          <w:i/>
          <w:spacing w:val="-4"/>
        </w:rPr>
        <w:t>6</w:t>
      </w:r>
      <w:r w:rsidRPr="008F6AC4">
        <w:rPr>
          <w:spacing w:val="-4"/>
        </w:rPr>
        <w:t>, e011504. https://doi.org/10.1136/bmjopen-2016-011504.</w:t>
      </w:r>
    </w:p>
    <w:p w14:paraId="1CB39E44" w14:textId="77777777" w:rsidR="00DC0E6D" w:rsidRPr="00775F40" w:rsidRDefault="00DC0E6D" w:rsidP="00DC0E6D">
      <w:pPr>
        <w:pStyle w:val="MDPI71References"/>
        <w:numPr>
          <w:ilvl w:val="0"/>
          <w:numId w:val="15"/>
        </w:numPr>
        <w:rPr>
          <w:spacing w:val="-4"/>
        </w:rPr>
      </w:pPr>
      <w:r w:rsidRPr="00486E14">
        <w:rPr>
          <w:spacing w:val="-4"/>
        </w:rPr>
        <w:t>World Health Organization. Timeline: WHO’s COVID-19 Response. Available online: https://www.who.int/emergencies/diseases/novel-coronavirus-2019/interactive-timeline#event-76 (</w:t>
      </w:r>
      <w:r w:rsidRPr="00775F40">
        <w:rPr>
          <w:spacing w:val="-4"/>
        </w:rPr>
        <w:t>accessed on 15 October 2021).</w:t>
      </w:r>
    </w:p>
    <w:p w14:paraId="31CB5C03" w14:textId="77777777" w:rsidR="00DC0E6D" w:rsidRPr="00775F40" w:rsidRDefault="00DC0E6D" w:rsidP="00DC0E6D">
      <w:pPr>
        <w:pStyle w:val="MDPI71References"/>
        <w:numPr>
          <w:ilvl w:val="0"/>
          <w:numId w:val="15"/>
        </w:numPr>
      </w:pPr>
      <w:r w:rsidRPr="008F6AC4">
        <w:rPr>
          <w:spacing w:val="-4"/>
          <w:lang w:val="es-ES_tradnl"/>
        </w:rPr>
        <w:t>Agencia Estatal</w:t>
      </w:r>
      <w:r w:rsidRPr="003F2FC5">
        <w:rPr>
          <w:lang w:val="es-ES_tradnl"/>
        </w:rPr>
        <w:t xml:space="preserve"> </w:t>
      </w:r>
      <w:proofErr w:type="spellStart"/>
      <w:r w:rsidRPr="003F2FC5">
        <w:rPr>
          <w:lang w:val="es-ES_tradnl"/>
        </w:rPr>
        <w:t>Boletin</w:t>
      </w:r>
      <w:proofErr w:type="spellEnd"/>
      <w:r w:rsidRPr="003F2FC5">
        <w:rPr>
          <w:lang w:val="es-ES_tradnl"/>
        </w:rPr>
        <w:t xml:space="preserve"> Oficial del Estado. Real Decreto 463/2020, de 14 de </w:t>
      </w:r>
      <w:proofErr w:type="gramStart"/>
      <w:r w:rsidRPr="003F2FC5">
        <w:rPr>
          <w:lang w:val="es-ES_tradnl"/>
        </w:rPr>
        <w:t>Marzo</w:t>
      </w:r>
      <w:proofErr w:type="gramEnd"/>
      <w:r w:rsidRPr="003F2FC5">
        <w:rPr>
          <w:lang w:val="es-ES_tradnl"/>
        </w:rPr>
        <w:t xml:space="preserve">, por el que se Declara el estado de Alarma Para la Gestión de la Situación de Crisis Sanitaria Ocasionada por el COVID-19. </w:t>
      </w:r>
      <w:r w:rsidRPr="00775F40">
        <w:t xml:space="preserve">Available online: https://www.boe.es/eli/es/rd/2020/03/14/463 </w:t>
      </w:r>
      <w:r w:rsidRPr="003F2FC5">
        <w:t>(</w:t>
      </w:r>
      <w:r w:rsidRPr="00775F40">
        <w:t>accessed on 15 October 2021).</w:t>
      </w:r>
    </w:p>
    <w:p w14:paraId="6195B99A" w14:textId="77777777" w:rsidR="00DC0E6D" w:rsidRPr="003F2FC5" w:rsidRDefault="00DC0E6D" w:rsidP="00DC0E6D">
      <w:pPr>
        <w:pStyle w:val="MDPI71References"/>
        <w:numPr>
          <w:ilvl w:val="0"/>
          <w:numId w:val="15"/>
        </w:numPr>
      </w:pPr>
      <w:r w:rsidRPr="003F2FC5">
        <w:rPr>
          <w:lang w:val="es-ES_tradnl"/>
        </w:rPr>
        <w:t xml:space="preserve">Agencia Estatal </w:t>
      </w:r>
      <w:proofErr w:type="spellStart"/>
      <w:r w:rsidRPr="003F2FC5">
        <w:rPr>
          <w:lang w:val="es-ES_tradnl"/>
        </w:rPr>
        <w:t>Boletin</w:t>
      </w:r>
      <w:proofErr w:type="spellEnd"/>
      <w:r w:rsidRPr="003F2FC5">
        <w:rPr>
          <w:lang w:val="es-ES_tradnl"/>
        </w:rPr>
        <w:t xml:space="preserve"> Oficial del Estado. Real Decreto 537/2020, de 22 de </w:t>
      </w:r>
      <w:proofErr w:type="gramStart"/>
      <w:r w:rsidRPr="003F2FC5">
        <w:rPr>
          <w:lang w:val="es-ES_tradnl"/>
        </w:rPr>
        <w:t>Mayo</w:t>
      </w:r>
      <w:proofErr w:type="gramEnd"/>
      <w:r w:rsidRPr="003F2FC5">
        <w:rPr>
          <w:lang w:val="es-ES_tradnl"/>
        </w:rPr>
        <w:t xml:space="preserve">, por el que se Prorroga el Estado de Alarma Declarado por el Real Decreto 463/2020, de 14 de Marzo, por el que se Declara el Estado de Alarma Para la Gestión de la Situación de Crisis Sanitaria Ocasionada por el COVID-19. </w:t>
      </w:r>
      <w:r w:rsidRPr="00775F40">
        <w:t xml:space="preserve">Available online: https://www.boe.es/eli/es/rd/2020/05/22/537/con </w:t>
      </w:r>
      <w:r w:rsidRPr="003F2FC5">
        <w:t>(</w:t>
      </w:r>
      <w:r w:rsidRPr="00775F40">
        <w:t>accessed on 15 October 2021)</w:t>
      </w:r>
      <w:r w:rsidRPr="003F2FC5">
        <w:t>.</w:t>
      </w:r>
    </w:p>
    <w:p w14:paraId="47FE32F8" w14:textId="77777777" w:rsidR="00DC0E6D" w:rsidRPr="003F2FC5" w:rsidRDefault="00DC0E6D" w:rsidP="00DC0E6D">
      <w:pPr>
        <w:pStyle w:val="MDPI71References"/>
        <w:numPr>
          <w:ilvl w:val="0"/>
          <w:numId w:val="15"/>
        </w:numPr>
      </w:pPr>
      <w:proofErr w:type="spellStart"/>
      <w:r w:rsidRPr="003F2FC5">
        <w:t>Pijls</w:t>
      </w:r>
      <w:proofErr w:type="spellEnd"/>
      <w:r w:rsidRPr="003F2FC5">
        <w:t xml:space="preserve">, B.G.; </w:t>
      </w:r>
      <w:proofErr w:type="spellStart"/>
      <w:r w:rsidRPr="003F2FC5">
        <w:t>Jolani</w:t>
      </w:r>
      <w:proofErr w:type="spellEnd"/>
      <w:r w:rsidRPr="003F2FC5">
        <w:t xml:space="preserve">, S.; </w:t>
      </w:r>
      <w:proofErr w:type="spellStart"/>
      <w:r w:rsidRPr="003F2FC5">
        <w:t>Atherley</w:t>
      </w:r>
      <w:proofErr w:type="spellEnd"/>
      <w:r w:rsidRPr="003F2FC5">
        <w:t xml:space="preserve">, A.; </w:t>
      </w:r>
      <w:proofErr w:type="spellStart"/>
      <w:r w:rsidRPr="003F2FC5">
        <w:rPr>
          <w:rStyle w:val="name"/>
        </w:rPr>
        <w:t>Derckx</w:t>
      </w:r>
      <w:proofErr w:type="spellEnd"/>
      <w:r w:rsidRPr="003F2FC5">
        <w:rPr>
          <w:rStyle w:val="name"/>
        </w:rPr>
        <w:t xml:space="preserve">, R.T.; Dijkstra, J.I.R.; Franssen, G.H.L.; Hendriks, S.; </w:t>
      </w:r>
      <w:proofErr w:type="spellStart"/>
      <w:r w:rsidRPr="003F2FC5">
        <w:rPr>
          <w:rStyle w:val="name"/>
        </w:rPr>
        <w:t>Richters</w:t>
      </w:r>
      <w:proofErr w:type="spellEnd"/>
      <w:r w:rsidRPr="003F2FC5">
        <w:rPr>
          <w:rStyle w:val="name"/>
        </w:rPr>
        <w:t xml:space="preserve">, A.; </w:t>
      </w:r>
      <w:proofErr w:type="spellStart"/>
      <w:r w:rsidRPr="003F2FC5">
        <w:rPr>
          <w:rStyle w:val="name"/>
        </w:rPr>
        <w:t>Venemans</w:t>
      </w:r>
      <w:proofErr w:type="spellEnd"/>
      <w:r w:rsidRPr="003F2FC5">
        <w:rPr>
          <w:rStyle w:val="name"/>
        </w:rPr>
        <w:t xml:space="preserve">-Jellema, A.; </w:t>
      </w:r>
      <w:proofErr w:type="spellStart"/>
      <w:r w:rsidRPr="003F2FC5">
        <w:rPr>
          <w:rStyle w:val="name"/>
        </w:rPr>
        <w:t>Zalpuri</w:t>
      </w:r>
      <w:proofErr w:type="spellEnd"/>
      <w:r w:rsidRPr="003F2FC5">
        <w:rPr>
          <w:rStyle w:val="name"/>
        </w:rPr>
        <w:t>, S.;</w:t>
      </w:r>
      <w:r w:rsidRPr="003F2FC5">
        <w:t xml:space="preserve"> et al. Demographic risk factors for COVID-19 infection, severity, ICU admission and death: A meta-analysis of 59 studies. </w:t>
      </w:r>
      <w:r w:rsidRPr="003F2FC5">
        <w:rPr>
          <w:i/>
          <w:iCs/>
        </w:rPr>
        <w:t>BMJ Open</w:t>
      </w:r>
      <w:r w:rsidRPr="003F2FC5">
        <w:t xml:space="preserve"> </w:t>
      </w:r>
      <w:r w:rsidRPr="003F2FC5">
        <w:rPr>
          <w:b/>
        </w:rPr>
        <w:t>2021</w:t>
      </w:r>
      <w:r w:rsidRPr="003F2FC5">
        <w:t xml:space="preserve">, </w:t>
      </w:r>
      <w:r w:rsidRPr="003F2FC5">
        <w:rPr>
          <w:i/>
        </w:rPr>
        <w:t>11</w:t>
      </w:r>
      <w:r w:rsidRPr="003F2FC5">
        <w:t>, e044640. https://doi.org/10.1136/bmjopen-2020-044640.</w:t>
      </w:r>
    </w:p>
    <w:p w14:paraId="7DF62EC1" w14:textId="77777777" w:rsidR="00DC0E6D" w:rsidRPr="005B13C8" w:rsidRDefault="00DC0E6D" w:rsidP="00DC0E6D">
      <w:pPr>
        <w:pStyle w:val="MDPI71References"/>
        <w:numPr>
          <w:ilvl w:val="0"/>
          <w:numId w:val="15"/>
        </w:numPr>
      </w:pPr>
      <w:proofErr w:type="spellStart"/>
      <w:r w:rsidRPr="00775F40">
        <w:t>Sepúlveda</w:t>
      </w:r>
      <w:proofErr w:type="spellEnd"/>
      <w:r w:rsidRPr="00775F40">
        <w:t>-Loyola, W.; Rodríguez-Sánchez, I.; Pérez-Rodríguez, P.; Ganz, F.; Torralba, R.; Oliveira, D.V.; Rodríguez-</w:t>
      </w:r>
      <w:proofErr w:type="spellStart"/>
      <w:r w:rsidRPr="00775F40">
        <w:t>Mañas</w:t>
      </w:r>
      <w:proofErr w:type="spellEnd"/>
      <w:r w:rsidRPr="00775F40">
        <w:t xml:space="preserve">, L. </w:t>
      </w:r>
      <w:r w:rsidRPr="003F2FC5">
        <w:t xml:space="preserve">Impact of social isolation due to COVID-19 on health in older people: Mental and physical effects and recommendations. </w:t>
      </w:r>
      <w:r w:rsidRPr="003F2FC5">
        <w:rPr>
          <w:i/>
          <w:iCs/>
        </w:rPr>
        <w:t xml:space="preserve">J. </w:t>
      </w:r>
      <w:proofErr w:type="spellStart"/>
      <w:r w:rsidRPr="003F2FC5">
        <w:rPr>
          <w:i/>
          <w:iCs/>
        </w:rPr>
        <w:t>Nutr</w:t>
      </w:r>
      <w:proofErr w:type="spellEnd"/>
      <w:r w:rsidRPr="003F2FC5">
        <w:rPr>
          <w:i/>
          <w:iCs/>
        </w:rPr>
        <w:t>. Health Aging</w:t>
      </w:r>
      <w:r w:rsidRPr="003F2FC5">
        <w:t xml:space="preserve"> </w:t>
      </w:r>
      <w:r w:rsidRPr="003F2FC5">
        <w:rPr>
          <w:b/>
        </w:rPr>
        <w:t>2020</w:t>
      </w:r>
      <w:r w:rsidRPr="003F2FC5">
        <w:t xml:space="preserve">, </w:t>
      </w:r>
      <w:r w:rsidRPr="003F2FC5">
        <w:rPr>
          <w:i/>
        </w:rPr>
        <w:t>24</w:t>
      </w:r>
      <w:r w:rsidRPr="003F2FC5">
        <w:t>, 938–947. https://doi.org/10.1007/s12603</w:t>
      </w:r>
      <w:r w:rsidRPr="005B13C8">
        <w:t>-020-1469-2.</w:t>
      </w:r>
    </w:p>
    <w:p w14:paraId="686C9A12" w14:textId="77777777" w:rsidR="00DC0E6D" w:rsidRPr="005B13C8" w:rsidRDefault="00DC0E6D" w:rsidP="00DC0E6D">
      <w:pPr>
        <w:pStyle w:val="MDPI71References"/>
        <w:numPr>
          <w:ilvl w:val="0"/>
          <w:numId w:val="15"/>
        </w:numPr>
      </w:pPr>
      <w:proofErr w:type="spellStart"/>
      <w:r>
        <w:lastRenderedPageBreak/>
        <w:t>Korobelnik</w:t>
      </w:r>
      <w:proofErr w:type="spellEnd"/>
      <w:r>
        <w:t xml:space="preserve">, J.F.; Loewenstein, A.; </w:t>
      </w:r>
      <w:proofErr w:type="spellStart"/>
      <w:r>
        <w:t>Eldem</w:t>
      </w:r>
      <w:proofErr w:type="spellEnd"/>
      <w:r>
        <w:t xml:space="preserve">, B.; </w:t>
      </w:r>
      <w:proofErr w:type="spellStart"/>
      <w:r w:rsidRPr="008B4389">
        <w:t>Joussen</w:t>
      </w:r>
      <w:proofErr w:type="spellEnd"/>
      <w:r>
        <w:t xml:space="preserve">, A.M.; </w:t>
      </w:r>
      <w:r w:rsidRPr="008B4389">
        <w:t>Koh</w:t>
      </w:r>
      <w:r>
        <w:t xml:space="preserve">, A.; </w:t>
      </w:r>
      <w:proofErr w:type="spellStart"/>
      <w:r w:rsidRPr="008B4389">
        <w:t>Lambrou</w:t>
      </w:r>
      <w:proofErr w:type="spellEnd"/>
      <w:r>
        <w:t xml:space="preserve">, G.N.; </w:t>
      </w:r>
      <w:proofErr w:type="spellStart"/>
      <w:r w:rsidRPr="008B4389">
        <w:t>Lanzetta</w:t>
      </w:r>
      <w:proofErr w:type="spellEnd"/>
      <w:r>
        <w:t xml:space="preserve">, P.; </w:t>
      </w:r>
      <w:r w:rsidRPr="008B4389">
        <w:t>Li</w:t>
      </w:r>
      <w:r>
        <w:t xml:space="preserve">, X.; </w:t>
      </w:r>
      <w:proofErr w:type="spellStart"/>
      <w:r w:rsidRPr="008B4389">
        <w:t>Lövestam</w:t>
      </w:r>
      <w:proofErr w:type="spellEnd"/>
      <w:r w:rsidRPr="008B4389">
        <w:t>-Adrian</w:t>
      </w:r>
      <w:r>
        <w:t xml:space="preserve">, M.; </w:t>
      </w:r>
      <w:r w:rsidRPr="008B4389">
        <w:t>Navarro</w:t>
      </w:r>
      <w:r>
        <w:t>, R.;</w:t>
      </w:r>
      <w:r w:rsidRPr="005B13C8">
        <w:t xml:space="preserve"> et al. Guidance for anti-VEGF intravitreal injections during the COVID-19 pandemic. </w:t>
      </w:r>
      <w:proofErr w:type="spellStart"/>
      <w:r w:rsidRPr="00280E7B">
        <w:rPr>
          <w:i/>
          <w:iCs/>
        </w:rPr>
        <w:t>Graefes</w:t>
      </w:r>
      <w:proofErr w:type="spellEnd"/>
      <w:r w:rsidRPr="00280E7B">
        <w:rPr>
          <w:i/>
          <w:iCs/>
        </w:rPr>
        <w:t xml:space="preserve"> Arch</w:t>
      </w:r>
      <w:r>
        <w:rPr>
          <w:i/>
          <w:iCs/>
        </w:rPr>
        <w:t>.</w:t>
      </w:r>
      <w:r w:rsidRPr="00280E7B">
        <w:rPr>
          <w:i/>
          <w:iCs/>
        </w:rPr>
        <w:t xml:space="preserve"> Clin</w:t>
      </w:r>
      <w:r>
        <w:rPr>
          <w:i/>
          <w:iCs/>
        </w:rPr>
        <w:t>.</w:t>
      </w:r>
      <w:r w:rsidRPr="00280E7B">
        <w:rPr>
          <w:i/>
          <w:iCs/>
        </w:rPr>
        <w:t xml:space="preserve"> Exp</w:t>
      </w:r>
      <w:r>
        <w:rPr>
          <w:i/>
          <w:iCs/>
        </w:rPr>
        <w:t>.</w:t>
      </w:r>
      <w:r w:rsidRPr="00280E7B">
        <w:rPr>
          <w:i/>
          <w:iCs/>
        </w:rPr>
        <w:t xml:space="preserve"> </w:t>
      </w:r>
      <w:proofErr w:type="spellStart"/>
      <w:r w:rsidRPr="00280E7B">
        <w:rPr>
          <w:i/>
          <w:iCs/>
        </w:rPr>
        <w:t>Ophthalmol</w:t>
      </w:r>
      <w:proofErr w:type="spellEnd"/>
      <w:r w:rsidRPr="005B13C8">
        <w:t xml:space="preserve">. </w:t>
      </w:r>
      <w:r>
        <w:rPr>
          <w:b/>
        </w:rPr>
        <w:t>2020</w:t>
      </w:r>
      <w:r>
        <w:t xml:space="preserve">, </w:t>
      </w:r>
      <w:r>
        <w:rPr>
          <w:i/>
        </w:rPr>
        <w:t>258</w:t>
      </w:r>
      <w:r>
        <w:t>, 1149–1156. https://doi.org/</w:t>
      </w:r>
      <w:r w:rsidRPr="005B13C8">
        <w:t>10.1007/s00417-020-04703-x.</w:t>
      </w:r>
    </w:p>
    <w:p w14:paraId="295F9D66" w14:textId="77777777" w:rsidR="00DC0E6D" w:rsidRPr="005B13C8" w:rsidRDefault="00DC0E6D" w:rsidP="00DC0E6D">
      <w:pPr>
        <w:pStyle w:val="MDPI71References"/>
        <w:numPr>
          <w:ilvl w:val="0"/>
          <w:numId w:val="15"/>
        </w:numPr>
      </w:pPr>
      <w:r w:rsidRPr="005B13C8">
        <w:rPr>
          <w:lang w:val="es-ES_tradnl"/>
        </w:rPr>
        <w:t xml:space="preserve">Sociedad </w:t>
      </w:r>
      <w:proofErr w:type="spellStart"/>
      <w:r w:rsidRPr="005B13C8">
        <w:rPr>
          <w:lang w:val="es-ES_tradnl"/>
        </w:rPr>
        <w:t>Espanola</w:t>
      </w:r>
      <w:proofErr w:type="spellEnd"/>
      <w:r w:rsidRPr="005B13C8">
        <w:rPr>
          <w:lang w:val="es-ES_tradnl"/>
        </w:rPr>
        <w:t xml:space="preserve"> de Retina y Vitreo. Recomendaciones Para la Atención a Pacientes Oftalmológicos en Relación con Emergencia COVID-19. </w:t>
      </w:r>
      <w:r w:rsidRPr="00775F40">
        <w:t>Available online: https://serv.es/oftalmologia-COVID19/ (</w:t>
      </w:r>
      <w:r w:rsidRPr="005B13C8">
        <w:t>accessed</w:t>
      </w:r>
      <w:r>
        <w:t xml:space="preserve"> on</w:t>
      </w:r>
      <w:r w:rsidRPr="005B13C8">
        <w:t xml:space="preserve"> 22 Mar</w:t>
      </w:r>
      <w:r>
        <w:t>ch</w:t>
      </w:r>
      <w:r w:rsidRPr="005B13C8">
        <w:t xml:space="preserve"> 2020</w:t>
      </w:r>
      <w:r>
        <w:t>)</w:t>
      </w:r>
      <w:r w:rsidRPr="005B13C8">
        <w:t>.</w:t>
      </w:r>
    </w:p>
    <w:p w14:paraId="54262B5E" w14:textId="77777777" w:rsidR="00DC0E6D" w:rsidRPr="005B13C8" w:rsidRDefault="00DC0E6D" w:rsidP="00DC0E6D">
      <w:pPr>
        <w:pStyle w:val="MDPI71References"/>
        <w:numPr>
          <w:ilvl w:val="0"/>
          <w:numId w:val="15"/>
        </w:numPr>
      </w:pPr>
      <w:proofErr w:type="spellStart"/>
      <w:r>
        <w:t>Lindeke</w:t>
      </w:r>
      <w:proofErr w:type="spellEnd"/>
      <w:r>
        <w:t xml:space="preserve">-Myers, A.; Zhao, P.Y.C.; Meyer, B.I.; </w:t>
      </w:r>
      <w:r w:rsidRPr="0030071E">
        <w:t>Liu</w:t>
      </w:r>
      <w:r>
        <w:t xml:space="preserve">, E.A.; </w:t>
      </w:r>
      <w:r w:rsidRPr="0030071E">
        <w:t>Levine</w:t>
      </w:r>
      <w:r>
        <w:t xml:space="preserve">, D.A.; </w:t>
      </w:r>
      <w:r w:rsidRPr="0030071E">
        <w:t>Bennett</w:t>
      </w:r>
      <w:r>
        <w:t xml:space="preserve">, O.M.; Ji, S.; </w:t>
      </w:r>
      <w:r w:rsidRPr="0030071E">
        <w:t>Newman-Casey</w:t>
      </w:r>
      <w:r>
        <w:t xml:space="preserve">, P.A.; Rao, R.C.; </w:t>
      </w:r>
      <w:r w:rsidRPr="0030071E">
        <w:t>Jain</w:t>
      </w:r>
      <w:r>
        <w:t>, N.</w:t>
      </w:r>
      <w:r w:rsidRPr="005B13C8">
        <w:t xml:space="preserve"> Patient perceptions of SARS-CoV-2 exposure risk and association with continuity of ophthalmic care. </w:t>
      </w:r>
      <w:r w:rsidRPr="00A90247">
        <w:rPr>
          <w:i/>
          <w:iCs/>
        </w:rPr>
        <w:t xml:space="preserve">JAMA </w:t>
      </w:r>
      <w:proofErr w:type="spellStart"/>
      <w:r w:rsidRPr="00A90247">
        <w:rPr>
          <w:i/>
          <w:iCs/>
        </w:rPr>
        <w:t>Ophthalmol</w:t>
      </w:r>
      <w:proofErr w:type="spellEnd"/>
      <w:r w:rsidRPr="005B13C8">
        <w:t xml:space="preserve">. </w:t>
      </w:r>
      <w:r>
        <w:rPr>
          <w:b/>
        </w:rPr>
        <w:t>2021</w:t>
      </w:r>
      <w:r>
        <w:t xml:space="preserve">, </w:t>
      </w:r>
      <w:r>
        <w:rPr>
          <w:i/>
        </w:rPr>
        <w:t>139</w:t>
      </w:r>
      <w:r>
        <w:t>, 508–515. https://doi.org/</w:t>
      </w:r>
      <w:r w:rsidRPr="005B13C8">
        <w:t>10.1001/jamaophthalmol.2021.0114.</w:t>
      </w:r>
    </w:p>
    <w:p w14:paraId="575AA2C4" w14:textId="77777777" w:rsidR="00DC0E6D" w:rsidRPr="00775F40" w:rsidRDefault="00DC0E6D" w:rsidP="00DC0E6D">
      <w:pPr>
        <w:pStyle w:val="MDPI71References"/>
        <w:numPr>
          <w:ilvl w:val="0"/>
          <w:numId w:val="15"/>
        </w:numPr>
      </w:pPr>
      <w:r w:rsidRPr="005B13C8">
        <w:rPr>
          <w:lang w:val="es-ES_tradnl"/>
        </w:rPr>
        <w:t xml:space="preserve">Instituto Nacional de Estadística. Cifras Oficiales de Población Resultantes de la Revisión del Padrón Municipal a 1 de </w:t>
      </w:r>
      <w:proofErr w:type="gramStart"/>
      <w:r w:rsidRPr="005B13C8">
        <w:rPr>
          <w:lang w:val="es-ES_tradnl"/>
        </w:rPr>
        <w:t>Enero</w:t>
      </w:r>
      <w:proofErr w:type="gramEnd"/>
      <w:r w:rsidRPr="005B13C8">
        <w:rPr>
          <w:lang w:val="es-ES_tradnl"/>
        </w:rPr>
        <w:t xml:space="preserve">. </w:t>
      </w:r>
      <w:r w:rsidRPr="00775F40">
        <w:t>Available online: https://www.ine.es/jaxiT3/Datos.htm?t=2852 (accessed on 15 October 2021).</w:t>
      </w:r>
    </w:p>
    <w:p w14:paraId="4B232F71" w14:textId="77777777" w:rsidR="00DC0E6D" w:rsidRPr="00775F40" w:rsidRDefault="00DC0E6D" w:rsidP="00DC0E6D">
      <w:pPr>
        <w:pStyle w:val="MDPI71References"/>
        <w:numPr>
          <w:ilvl w:val="0"/>
          <w:numId w:val="15"/>
        </w:numPr>
      </w:pPr>
      <w:r w:rsidRPr="005B13C8">
        <w:rPr>
          <w:lang w:val="es-ES_tradnl"/>
        </w:rPr>
        <w:t>Instituto Nacional de Estadística. Indicadores de Estructura de la Población: Palencia.</w:t>
      </w:r>
      <w:r>
        <w:rPr>
          <w:lang w:val="es-ES_tradnl"/>
        </w:rPr>
        <w:t xml:space="preserve"> </w:t>
      </w:r>
      <w:r w:rsidRPr="00775F40">
        <w:t>Available online: https://www.ine.es/jaxiT3/Datos.htm?t=1488 (accessed on 15 October 2021).</w:t>
      </w:r>
    </w:p>
    <w:p w14:paraId="1FDFCDA8" w14:textId="77777777" w:rsidR="00DC0E6D" w:rsidRPr="00775F40" w:rsidRDefault="00DC0E6D" w:rsidP="00DC0E6D">
      <w:pPr>
        <w:pStyle w:val="MDPI71References"/>
        <w:numPr>
          <w:ilvl w:val="0"/>
          <w:numId w:val="15"/>
        </w:numPr>
        <w:rPr>
          <w:lang w:val="es-ES"/>
        </w:rPr>
      </w:pPr>
      <w:r w:rsidRPr="005B13C8">
        <w:rPr>
          <w:lang w:val="es-ES_tradnl"/>
        </w:rPr>
        <w:t xml:space="preserve">Evolución de Los Indicadores de Riesgo Por Provincias. Situación Epidemiológica del Coronavirus (COVID-19) en Castilla y León. https://analisis.datosabiertos.jcyl.es/pages/coronavirus/ </w:t>
      </w:r>
      <w:r>
        <w:rPr>
          <w:lang w:val="es-ES_tradnl"/>
        </w:rPr>
        <w:t>(</w:t>
      </w:r>
      <w:proofErr w:type="spellStart"/>
      <w:r w:rsidRPr="00775F40">
        <w:rPr>
          <w:lang w:val="es-ES"/>
        </w:rPr>
        <w:t>accessed</w:t>
      </w:r>
      <w:proofErr w:type="spellEnd"/>
      <w:r w:rsidRPr="00775F40">
        <w:rPr>
          <w:lang w:val="es-ES"/>
        </w:rPr>
        <w:t xml:space="preserve"> </w:t>
      </w:r>
      <w:proofErr w:type="spellStart"/>
      <w:r w:rsidRPr="00775F40">
        <w:rPr>
          <w:lang w:val="es-ES"/>
        </w:rPr>
        <w:t>on</w:t>
      </w:r>
      <w:proofErr w:type="spellEnd"/>
      <w:r w:rsidRPr="00775F40">
        <w:rPr>
          <w:lang w:val="es-ES"/>
        </w:rPr>
        <w:t xml:space="preserve"> 1 </w:t>
      </w:r>
      <w:proofErr w:type="spellStart"/>
      <w:r w:rsidRPr="00775F40">
        <w:rPr>
          <w:lang w:val="es-ES"/>
        </w:rPr>
        <w:t>December</w:t>
      </w:r>
      <w:proofErr w:type="spellEnd"/>
      <w:r w:rsidRPr="00775F40">
        <w:rPr>
          <w:lang w:val="es-ES"/>
        </w:rPr>
        <w:t xml:space="preserve"> 2021).</w:t>
      </w:r>
    </w:p>
    <w:p w14:paraId="67E16412" w14:textId="77777777" w:rsidR="00DC0E6D" w:rsidRPr="00204444" w:rsidRDefault="00DC0E6D" w:rsidP="00DC0E6D">
      <w:pPr>
        <w:pStyle w:val="MDPI71References"/>
        <w:numPr>
          <w:ilvl w:val="0"/>
          <w:numId w:val="15"/>
        </w:numPr>
        <w:rPr>
          <w:spacing w:val="-4"/>
        </w:rPr>
      </w:pPr>
      <w:r w:rsidRPr="005B13C8">
        <w:t xml:space="preserve">World </w:t>
      </w:r>
      <w:r w:rsidRPr="003F2FC5">
        <w:t>Health Organization. Blindness and Vision Impairment. Available online: https://www.who.int/news-room/fact-</w:t>
      </w:r>
      <w:r w:rsidRPr="00204444">
        <w:rPr>
          <w:spacing w:val="-4"/>
        </w:rPr>
        <w:t>sheets/detail/blindness-and-visual-impairment (accessed on 1 December 2021).</w:t>
      </w:r>
    </w:p>
    <w:p w14:paraId="4CC8EFAA" w14:textId="77777777" w:rsidR="00DC0E6D" w:rsidRPr="00204444" w:rsidRDefault="00DC0E6D" w:rsidP="00DC0E6D">
      <w:pPr>
        <w:pStyle w:val="MDPI71References"/>
        <w:numPr>
          <w:ilvl w:val="0"/>
          <w:numId w:val="15"/>
        </w:numPr>
        <w:rPr>
          <w:spacing w:val="-4"/>
        </w:rPr>
      </w:pPr>
      <w:r w:rsidRPr="00204444">
        <w:rPr>
          <w:spacing w:val="-4"/>
        </w:rPr>
        <w:t>EQ-5D. EQ-5D-3L|About. Available online: https://euroqol.org/eq-5d-instruments/eq-5d-3l-about/ (accessed on 1 December 2021).</w:t>
      </w:r>
    </w:p>
    <w:p w14:paraId="539F2087" w14:textId="77777777" w:rsidR="00DC0E6D" w:rsidRPr="005B13C8" w:rsidRDefault="00DC0E6D" w:rsidP="00DC0E6D">
      <w:pPr>
        <w:pStyle w:val="MDPI71References"/>
        <w:numPr>
          <w:ilvl w:val="0"/>
          <w:numId w:val="15"/>
        </w:numPr>
      </w:pPr>
      <w:proofErr w:type="spellStart"/>
      <w:r>
        <w:t>Sherbourne</w:t>
      </w:r>
      <w:proofErr w:type="spellEnd"/>
      <w:r>
        <w:t>, C.D.; Stewart, A.L.</w:t>
      </w:r>
      <w:r w:rsidRPr="005B13C8">
        <w:t xml:space="preserve"> The MOS social support survey. </w:t>
      </w:r>
      <w:r w:rsidRPr="008E16EA">
        <w:rPr>
          <w:i/>
          <w:iCs/>
        </w:rPr>
        <w:t>Soc</w:t>
      </w:r>
      <w:r>
        <w:rPr>
          <w:i/>
          <w:iCs/>
        </w:rPr>
        <w:t>.</w:t>
      </w:r>
      <w:r w:rsidRPr="008E16EA">
        <w:rPr>
          <w:i/>
          <w:iCs/>
        </w:rPr>
        <w:t xml:space="preserve"> Sci</w:t>
      </w:r>
      <w:r>
        <w:rPr>
          <w:i/>
          <w:iCs/>
        </w:rPr>
        <w:t>.</w:t>
      </w:r>
      <w:r w:rsidRPr="008E16EA">
        <w:rPr>
          <w:i/>
          <w:iCs/>
        </w:rPr>
        <w:t xml:space="preserve"> Med</w:t>
      </w:r>
      <w:r w:rsidRPr="005B13C8">
        <w:t xml:space="preserve">. </w:t>
      </w:r>
      <w:r>
        <w:rPr>
          <w:b/>
        </w:rPr>
        <w:t>1991</w:t>
      </w:r>
      <w:r>
        <w:t xml:space="preserve">, </w:t>
      </w:r>
      <w:r>
        <w:rPr>
          <w:i/>
        </w:rPr>
        <w:t>32</w:t>
      </w:r>
      <w:r>
        <w:t>, 705–714.</w:t>
      </w:r>
    </w:p>
    <w:p w14:paraId="1AAFB7BB" w14:textId="77777777" w:rsidR="00DC0E6D" w:rsidRPr="005B13C8" w:rsidRDefault="00DC0E6D" w:rsidP="00DC0E6D">
      <w:pPr>
        <w:pStyle w:val="MDPI71References"/>
        <w:numPr>
          <w:ilvl w:val="0"/>
          <w:numId w:val="15"/>
        </w:numPr>
      </w:pPr>
      <w:r w:rsidRPr="005B13C8">
        <w:t xml:space="preserve">MOS Social Support Survey. Description and Scoring Instructions: MOS Social Support Survey. </w:t>
      </w:r>
      <w:r>
        <w:t xml:space="preserve">Available online: </w:t>
      </w:r>
      <w:r w:rsidRPr="005B13C8">
        <w:t xml:space="preserve">https://cadc.ucsf.edu/sites/g/files/tkssra881/f/Description%20and%20Scoring%20Instructions%20MOS%20Social%20Support%20Survey.pdf </w:t>
      </w:r>
      <w:r>
        <w:t>(</w:t>
      </w:r>
      <w:r w:rsidRPr="005B13C8">
        <w:t>accessed</w:t>
      </w:r>
      <w:r>
        <w:t xml:space="preserve"> on</w:t>
      </w:r>
      <w:r w:rsidRPr="005B13C8">
        <w:t xml:space="preserve"> 1 Dec</w:t>
      </w:r>
      <w:r>
        <w:t>ember</w:t>
      </w:r>
      <w:r w:rsidRPr="005B13C8">
        <w:t xml:space="preserve"> 2021</w:t>
      </w:r>
      <w:r>
        <w:t>)</w:t>
      </w:r>
      <w:r w:rsidRPr="005B13C8">
        <w:t>.</w:t>
      </w:r>
    </w:p>
    <w:p w14:paraId="62284EDB" w14:textId="77777777" w:rsidR="00DC0E6D" w:rsidRPr="005B13C8" w:rsidRDefault="00DC0E6D" w:rsidP="00DC0E6D">
      <w:pPr>
        <w:pStyle w:val="MDPI71References"/>
        <w:numPr>
          <w:ilvl w:val="0"/>
          <w:numId w:val="15"/>
        </w:numPr>
      </w:pPr>
      <w:r w:rsidRPr="005B13C8">
        <w:t>Holladay</w:t>
      </w:r>
      <w:r>
        <w:t>,</w:t>
      </w:r>
      <w:r w:rsidRPr="005B13C8">
        <w:t xml:space="preserve"> J</w:t>
      </w:r>
      <w:r>
        <w:t>.</w:t>
      </w:r>
      <w:r w:rsidRPr="005B13C8">
        <w:t xml:space="preserve">T. Visual acuity measurements. </w:t>
      </w:r>
      <w:r w:rsidRPr="008E16EA">
        <w:rPr>
          <w:i/>
          <w:iCs/>
        </w:rPr>
        <w:t>J</w:t>
      </w:r>
      <w:r>
        <w:rPr>
          <w:i/>
          <w:iCs/>
        </w:rPr>
        <w:t>.</w:t>
      </w:r>
      <w:r w:rsidRPr="008E16EA">
        <w:rPr>
          <w:i/>
          <w:iCs/>
        </w:rPr>
        <w:t xml:space="preserve"> Cataract</w:t>
      </w:r>
      <w:r>
        <w:rPr>
          <w:i/>
          <w:iCs/>
        </w:rPr>
        <w:t>.</w:t>
      </w:r>
      <w:r w:rsidRPr="008E16EA">
        <w:rPr>
          <w:i/>
          <w:iCs/>
        </w:rPr>
        <w:t xml:space="preserve"> Refract</w:t>
      </w:r>
      <w:r>
        <w:rPr>
          <w:i/>
          <w:iCs/>
        </w:rPr>
        <w:t>.</w:t>
      </w:r>
      <w:r w:rsidRPr="008E16EA">
        <w:rPr>
          <w:i/>
          <w:iCs/>
        </w:rPr>
        <w:t xml:space="preserve"> Surg</w:t>
      </w:r>
      <w:r w:rsidRPr="005B13C8">
        <w:t xml:space="preserve">. </w:t>
      </w:r>
      <w:r>
        <w:rPr>
          <w:b/>
        </w:rPr>
        <w:t>2004</w:t>
      </w:r>
      <w:r>
        <w:t xml:space="preserve">, </w:t>
      </w:r>
      <w:r>
        <w:rPr>
          <w:i/>
        </w:rPr>
        <w:t>30</w:t>
      </w:r>
      <w:r>
        <w:t>, 287–290. https://doi.org/</w:t>
      </w:r>
      <w:r w:rsidRPr="005B13C8">
        <w:t>10.1016/j.jcrs.2004.01.014.</w:t>
      </w:r>
    </w:p>
    <w:p w14:paraId="3F66242A" w14:textId="77777777" w:rsidR="00DC0E6D" w:rsidRPr="003F2FC5" w:rsidRDefault="00DC0E6D" w:rsidP="00DC0E6D">
      <w:pPr>
        <w:pStyle w:val="MDPI71References"/>
        <w:numPr>
          <w:ilvl w:val="0"/>
          <w:numId w:val="15"/>
        </w:numPr>
      </w:pPr>
      <w:proofErr w:type="spellStart"/>
      <w:r w:rsidRPr="00775F40">
        <w:t>Corazza</w:t>
      </w:r>
      <w:proofErr w:type="spellEnd"/>
      <w:r w:rsidRPr="00775F40">
        <w:t xml:space="preserve">, P.; </w:t>
      </w:r>
      <w:proofErr w:type="spellStart"/>
      <w:r w:rsidRPr="00775F40">
        <w:t>D’Alterio</w:t>
      </w:r>
      <w:proofErr w:type="spellEnd"/>
      <w:r w:rsidRPr="00775F40">
        <w:t xml:space="preserve">, F.M.; </w:t>
      </w:r>
      <w:proofErr w:type="spellStart"/>
      <w:r w:rsidRPr="00775F40">
        <w:t>Kabbani</w:t>
      </w:r>
      <w:proofErr w:type="spellEnd"/>
      <w:r w:rsidRPr="00775F40">
        <w:t xml:space="preserve">, J.; </w:t>
      </w:r>
      <w:proofErr w:type="spellStart"/>
      <w:r w:rsidRPr="00775F40">
        <w:t>Alam</w:t>
      </w:r>
      <w:proofErr w:type="spellEnd"/>
      <w:r w:rsidRPr="00775F40">
        <w:t xml:space="preserve">, M.M.R.; </w:t>
      </w:r>
      <w:proofErr w:type="spellStart"/>
      <w:r w:rsidRPr="00775F40">
        <w:t>Mercuri</w:t>
      </w:r>
      <w:proofErr w:type="spellEnd"/>
      <w:r w:rsidRPr="00775F40">
        <w:t xml:space="preserve">, S.; Orlans, H.O.; Younis, S. </w:t>
      </w:r>
      <w:r w:rsidRPr="003F2FC5">
        <w:t>Long-term outcomes of intravitreal anti-VEGF therapies in patients affected by neovascular age-related macular degeneration: A real-life study.</w:t>
      </w:r>
      <w:r w:rsidRPr="003F2FC5">
        <w:rPr>
          <w:i/>
          <w:iCs/>
        </w:rPr>
        <w:t xml:space="preserve"> BMC </w:t>
      </w:r>
      <w:proofErr w:type="spellStart"/>
      <w:r w:rsidRPr="003F2FC5">
        <w:rPr>
          <w:i/>
          <w:iCs/>
        </w:rPr>
        <w:t>Ophthalmol</w:t>
      </w:r>
      <w:proofErr w:type="spellEnd"/>
      <w:r w:rsidRPr="003F2FC5">
        <w:t xml:space="preserve">. </w:t>
      </w:r>
      <w:r w:rsidRPr="003F2FC5">
        <w:rPr>
          <w:b/>
        </w:rPr>
        <w:t>2021</w:t>
      </w:r>
      <w:r w:rsidRPr="003F2FC5">
        <w:t xml:space="preserve">, </w:t>
      </w:r>
      <w:r w:rsidRPr="003F2FC5">
        <w:rPr>
          <w:i/>
        </w:rPr>
        <w:t>21</w:t>
      </w:r>
      <w:r w:rsidRPr="003F2FC5">
        <w:t>, 300. https://doi.org/10.1186/s12886-021-02055-6.</w:t>
      </w:r>
    </w:p>
    <w:p w14:paraId="4C863BB8" w14:textId="77777777" w:rsidR="00DC0E6D" w:rsidRPr="005B13C8" w:rsidRDefault="00DC0E6D" w:rsidP="00DC0E6D">
      <w:pPr>
        <w:pStyle w:val="MDPI71References"/>
        <w:numPr>
          <w:ilvl w:val="0"/>
          <w:numId w:val="15"/>
        </w:numPr>
      </w:pPr>
      <w:proofErr w:type="spellStart"/>
      <w:r w:rsidRPr="003F2FC5">
        <w:t>Upasani</w:t>
      </w:r>
      <w:proofErr w:type="spellEnd"/>
      <w:r w:rsidRPr="003F2FC5">
        <w:t>, D.; Dhingra, N. Ten-year outcome of anti-vascular</w:t>
      </w:r>
      <w:r w:rsidRPr="005B13C8">
        <w:t xml:space="preserve"> endothelial growth factor treatment for neovascular age-related macular degeneration. </w:t>
      </w:r>
      <w:r w:rsidRPr="003F03B7">
        <w:rPr>
          <w:i/>
          <w:iCs/>
        </w:rPr>
        <w:t>Indian J</w:t>
      </w:r>
      <w:r>
        <w:rPr>
          <w:i/>
          <w:iCs/>
        </w:rPr>
        <w:t>.</w:t>
      </w:r>
      <w:r w:rsidRPr="003F03B7">
        <w:rPr>
          <w:i/>
          <w:iCs/>
        </w:rPr>
        <w:t xml:space="preserve"> </w:t>
      </w:r>
      <w:proofErr w:type="spellStart"/>
      <w:r w:rsidRPr="003F03B7">
        <w:rPr>
          <w:i/>
          <w:iCs/>
        </w:rPr>
        <w:t>Ophthalmol</w:t>
      </w:r>
      <w:proofErr w:type="spellEnd"/>
      <w:r w:rsidRPr="005B13C8">
        <w:t xml:space="preserve">. </w:t>
      </w:r>
      <w:r>
        <w:rPr>
          <w:b/>
        </w:rPr>
        <w:t>2021</w:t>
      </w:r>
      <w:r>
        <w:t xml:space="preserve">, </w:t>
      </w:r>
      <w:r>
        <w:rPr>
          <w:i/>
        </w:rPr>
        <w:t>69</w:t>
      </w:r>
      <w:r>
        <w:t>, 2350–2354. https://doi.org/</w:t>
      </w:r>
      <w:r w:rsidRPr="005B13C8">
        <w:t>10.4103/ijo.IJO_2868_20.</w:t>
      </w:r>
    </w:p>
    <w:p w14:paraId="54ADE13A" w14:textId="77777777" w:rsidR="00DC0E6D" w:rsidRPr="005B13C8" w:rsidRDefault="00DC0E6D" w:rsidP="00DC0E6D">
      <w:pPr>
        <w:pStyle w:val="MDPI71References"/>
        <w:numPr>
          <w:ilvl w:val="0"/>
          <w:numId w:val="15"/>
        </w:numPr>
      </w:pPr>
      <w:r>
        <w:t xml:space="preserve">Evans, R.N.; Reeves, B.C.; Phillips, D.; </w:t>
      </w:r>
      <w:proofErr w:type="spellStart"/>
      <w:r>
        <w:t>Muldrew</w:t>
      </w:r>
      <w:proofErr w:type="spellEnd"/>
      <w:r>
        <w:t>, K.A.; Rogers, C.; Harding, S.P.; Chakravarthy, U.</w:t>
      </w:r>
      <w:r w:rsidRPr="005B13C8">
        <w:t xml:space="preserve">; IVAN Study Group. Long-term Visual Outcomes after Release from Protocol in Patients who Participated in the Inhibition of VEGF in Age-related Choroidal </w:t>
      </w:r>
      <w:proofErr w:type="spellStart"/>
      <w:r w:rsidRPr="005B13C8">
        <w:t>Neovascularisation</w:t>
      </w:r>
      <w:proofErr w:type="spellEnd"/>
      <w:r w:rsidRPr="005B13C8">
        <w:t xml:space="preserve"> (IVAN) Trial. </w:t>
      </w:r>
      <w:r w:rsidRPr="003F03B7">
        <w:rPr>
          <w:i/>
          <w:iCs/>
        </w:rPr>
        <w:t>Ophthalmology</w:t>
      </w:r>
      <w:r w:rsidRPr="005B13C8">
        <w:t xml:space="preserve"> </w:t>
      </w:r>
      <w:r>
        <w:rPr>
          <w:b/>
          <w:bCs/>
        </w:rPr>
        <w:t>2020</w:t>
      </w:r>
      <w:r>
        <w:rPr>
          <w:bCs/>
        </w:rPr>
        <w:t xml:space="preserve">, </w:t>
      </w:r>
      <w:r>
        <w:rPr>
          <w:bCs/>
          <w:i/>
        </w:rPr>
        <w:t>127</w:t>
      </w:r>
      <w:r>
        <w:rPr>
          <w:bCs/>
        </w:rPr>
        <w:t>, 1191–1200</w:t>
      </w:r>
      <w:r>
        <w:t>. https://doi.org/</w:t>
      </w:r>
      <w:r w:rsidRPr="005B13C8">
        <w:t>10.1016/j.ophtha.2020.03.020.</w:t>
      </w:r>
    </w:p>
    <w:p w14:paraId="2DA650AD" w14:textId="77777777" w:rsidR="00DC0E6D" w:rsidRPr="005B13C8" w:rsidRDefault="00DC0E6D" w:rsidP="00DC0E6D">
      <w:pPr>
        <w:pStyle w:val="MDPI71References"/>
        <w:numPr>
          <w:ilvl w:val="0"/>
          <w:numId w:val="15"/>
        </w:numPr>
      </w:pPr>
      <w:r w:rsidRPr="00B15212">
        <w:rPr>
          <w:lang w:val="de-DE"/>
        </w:rPr>
        <w:t xml:space="preserve">Fasler, K.; Fu, D.J.; </w:t>
      </w:r>
      <w:proofErr w:type="spellStart"/>
      <w:r w:rsidRPr="00B15212">
        <w:rPr>
          <w:lang w:val="de-DE"/>
        </w:rPr>
        <w:t>Moraes</w:t>
      </w:r>
      <w:proofErr w:type="spellEnd"/>
      <w:r w:rsidRPr="00B15212">
        <w:rPr>
          <w:lang w:val="de-DE"/>
        </w:rPr>
        <w:t xml:space="preserve">, G.; </w:t>
      </w:r>
      <w:r w:rsidRPr="00B15212">
        <w:rPr>
          <w:rStyle w:val="name"/>
          <w:lang w:val="de-DE"/>
        </w:rPr>
        <w:t xml:space="preserve">Wagner, S.; </w:t>
      </w:r>
      <w:proofErr w:type="spellStart"/>
      <w:r w:rsidRPr="00B15212">
        <w:rPr>
          <w:rStyle w:val="name"/>
          <w:lang w:val="de-DE"/>
        </w:rPr>
        <w:t>Gokhale</w:t>
      </w:r>
      <w:proofErr w:type="spellEnd"/>
      <w:r w:rsidRPr="00B15212">
        <w:rPr>
          <w:rStyle w:val="name"/>
          <w:lang w:val="de-DE"/>
        </w:rPr>
        <w:t xml:space="preserve">, E.; </w:t>
      </w:r>
      <w:proofErr w:type="spellStart"/>
      <w:r w:rsidRPr="00B15212">
        <w:rPr>
          <w:rStyle w:val="name"/>
          <w:lang w:val="de-DE"/>
        </w:rPr>
        <w:t>Kortuem</w:t>
      </w:r>
      <w:proofErr w:type="spellEnd"/>
      <w:r w:rsidRPr="00B15212">
        <w:rPr>
          <w:rStyle w:val="name"/>
          <w:lang w:val="de-DE"/>
        </w:rPr>
        <w:t xml:space="preserve">, K.; Chopra, R.; </w:t>
      </w:r>
      <w:proofErr w:type="spellStart"/>
      <w:r w:rsidRPr="00B15212">
        <w:rPr>
          <w:rStyle w:val="name"/>
          <w:lang w:val="de-DE"/>
        </w:rPr>
        <w:t>Faes</w:t>
      </w:r>
      <w:proofErr w:type="spellEnd"/>
      <w:r w:rsidRPr="00B15212">
        <w:rPr>
          <w:rStyle w:val="name"/>
          <w:lang w:val="de-DE"/>
        </w:rPr>
        <w:t xml:space="preserve">, L.; Preston, </w:t>
      </w:r>
      <w:proofErr w:type="gramStart"/>
      <w:r w:rsidRPr="00B15212">
        <w:rPr>
          <w:rStyle w:val="name"/>
          <w:lang w:val="de-DE"/>
        </w:rPr>
        <w:t>G.;</w:t>
      </w:r>
      <w:proofErr w:type="spellStart"/>
      <w:r w:rsidRPr="00B15212">
        <w:rPr>
          <w:rStyle w:val="name"/>
          <w:lang w:val="de-DE"/>
        </w:rPr>
        <w:t>Pontikos</w:t>
      </w:r>
      <w:proofErr w:type="spellEnd"/>
      <w:proofErr w:type="gramEnd"/>
      <w:r w:rsidRPr="00B15212">
        <w:rPr>
          <w:rStyle w:val="name"/>
          <w:lang w:val="de-DE"/>
        </w:rPr>
        <w:t>, N.;</w:t>
      </w:r>
      <w:r w:rsidRPr="00B15212">
        <w:rPr>
          <w:lang w:val="de-DE"/>
        </w:rPr>
        <w:t xml:space="preserve"> et al. </w:t>
      </w:r>
      <w:proofErr w:type="spellStart"/>
      <w:r w:rsidRPr="005B13C8">
        <w:t>Moorfields</w:t>
      </w:r>
      <w:proofErr w:type="spellEnd"/>
      <w:r w:rsidRPr="005B13C8">
        <w:t xml:space="preserve"> AMD database report 2</w:t>
      </w:r>
      <w:r>
        <w:t xml:space="preserve">, </w:t>
      </w:r>
      <w:r w:rsidRPr="005B13C8">
        <w:t xml:space="preserve">fellow eye involvement with neovascular age-related macular degeneration. </w:t>
      </w:r>
      <w:r w:rsidRPr="003F03B7">
        <w:rPr>
          <w:i/>
          <w:iCs/>
        </w:rPr>
        <w:t>Br</w:t>
      </w:r>
      <w:r>
        <w:rPr>
          <w:i/>
          <w:iCs/>
        </w:rPr>
        <w:t>.</w:t>
      </w:r>
      <w:r w:rsidRPr="003F03B7">
        <w:rPr>
          <w:i/>
          <w:iCs/>
        </w:rPr>
        <w:t xml:space="preserve"> J</w:t>
      </w:r>
      <w:r>
        <w:rPr>
          <w:i/>
          <w:iCs/>
        </w:rPr>
        <w:t>.</w:t>
      </w:r>
      <w:r w:rsidRPr="003F03B7">
        <w:rPr>
          <w:i/>
          <w:iCs/>
        </w:rPr>
        <w:t xml:space="preserve"> </w:t>
      </w:r>
      <w:proofErr w:type="spellStart"/>
      <w:r w:rsidRPr="003F03B7">
        <w:rPr>
          <w:i/>
          <w:iCs/>
        </w:rPr>
        <w:t>Ophthalmol</w:t>
      </w:r>
      <w:proofErr w:type="spellEnd"/>
      <w:r w:rsidRPr="005B13C8">
        <w:t xml:space="preserve">. </w:t>
      </w:r>
      <w:r>
        <w:rPr>
          <w:b/>
        </w:rPr>
        <w:t>2020</w:t>
      </w:r>
      <w:r>
        <w:t xml:space="preserve">, </w:t>
      </w:r>
      <w:r>
        <w:rPr>
          <w:i/>
        </w:rPr>
        <w:t>104</w:t>
      </w:r>
      <w:r>
        <w:t>, 684–690. https://doi.org/</w:t>
      </w:r>
      <w:r w:rsidRPr="005B13C8">
        <w:t>10.1136/bjophthalmol-2019-314446.</w:t>
      </w:r>
    </w:p>
    <w:p w14:paraId="6071D82F" w14:textId="77777777" w:rsidR="00DC0E6D" w:rsidRPr="003F2FC5" w:rsidRDefault="00DC0E6D" w:rsidP="00DC0E6D">
      <w:pPr>
        <w:pStyle w:val="MDPI71References"/>
        <w:numPr>
          <w:ilvl w:val="0"/>
          <w:numId w:val="15"/>
        </w:numPr>
      </w:pPr>
      <w:r>
        <w:t xml:space="preserve">Longworth, L.; Yang, Y.; Young, T.; Mulhern, B.; Alava, M.H.; </w:t>
      </w:r>
      <w:proofErr w:type="spellStart"/>
      <w:r>
        <w:t>Mukuria</w:t>
      </w:r>
      <w:proofErr w:type="spellEnd"/>
      <w:r>
        <w:t xml:space="preserve">, C.; </w:t>
      </w:r>
      <w:r w:rsidRPr="003F2FC5">
        <w:t>Rowen, D.; Tosh, J.; Tsuchiya, A.; Evans, P.; et al. Use of generic and condition-specific measures of health-related quality of life in NICE decision-making: A systematic review, statistical modelling and survey</w:t>
      </w:r>
      <w:r w:rsidRPr="003F2FC5">
        <w:rPr>
          <w:i/>
          <w:iCs/>
        </w:rPr>
        <w:t>. Health Technol. Assess</w:t>
      </w:r>
      <w:r w:rsidRPr="003F2FC5">
        <w:t xml:space="preserve">. </w:t>
      </w:r>
      <w:r w:rsidRPr="003F2FC5">
        <w:rPr>
          <w:b/>
        </w:rPr>
        <w:t>2014</w:t>
      </w:r>
      <w:r w:rsidRPr="003F2FC5">
        <w:t xml:space="preserve">, </w:t>
      </w:r>
      <w:r w:rsidRPr="003F2FC5">
        <w:rPr>
          <w:i/>
        </w:rPr>
        <w:t>18</w:t>
      </w:r>
      <w:r w:rsidRPr="003F2FC5">
        <w:t>, 1–224. https://doi.org/10.3310/hta18090.</w:t>
      </w:r>
    </w:p>
    <w:p w14:paraId="0A7F6D07" w14:textId="77777777" w:rsidR="00DC0E6D" w:rsidRPr="003F2FC5" w:rsidRDefault="00DC0E6D" w:rsidP="00DC0E6D">
      <w:pPr>
        <w:pStyle w:val="MDPI71References"/>
        <w:numPr>
          <w:ilvl w:val="0"/>
          <w:numId w:val="15"/>
        </w:numPr>
      </w:pPr>
      <w:proofErr w:type="spellStart"/>
      <w:r w:rsidRPr="003F2FC5">
        <w:t>Seland</w:t>
      </w:r>
      <w:proofErr w:type="spellEnd"/>
      <w:r w:rsidRPr="003F2FC5">
        <w:t xml:space="preserve">, J.H.; </w:t>
      </w:r>
      <w:proofErr w:type="spellStart"/>
      <w:r w:rsidRPr="003F2FC5">
        <w:t>Vingerling</w:t>
      </w:r>
      <w:proofErr w:type="spellEnd"/>
      <w:r w:rsidRPr="003F2FC5">
        <w:t xml:space="preserve">, J.R.; </w:t>
      </w:r>
      <w:proofErr w:type="spellStart"/>
      <w:r w:rsidRPr="003F2FC5">
        <w:t>Augood</w:t>
      </w:r>
      <w:proofErr w:type="spellEnd"/>
      <w:r w:rsidRPr="003F2FC5">
        <w:t xml:space="preserve">, C.A.; </w:t>
      </w:r>
      <w:r w:rsidRPr="003F2FC5">
        <w:rPr>
          <w:rStyle w:val="accordion-tabbedtab-mobile"/>
        </w:rPr>
        <w:t xml:space="preserve">Bentham, G.; Chakravarthy, U.; DeJong, P.T.V.M.; Rahu, M.; </w:t>
      </w:r>
      <w:proofErr w:type="spellStart"/>
      <w:r w:rsidRPr="003F2FC5">
        <w:rPr>
          <w:rStyle w:val="accordion-tabbedtab-mobile"/>
        </w:rPr>
        <w:t>Soubrane</w:t>
      </w:r>
      <w:proofErr w:type="spellEnd"/>
      <w:r w:rsidRPr="003F2FC5">
        <w:rPr>
          <w:rStyle w:val="accordion-tabbedtab-mobile"/>
        </w:rPr>
        <w:t xml:space="preserve">, G.; </w:t>
      </w:r>
      <w:proofErr w:type="spellStart"/>
      <w:r w:rsidRPr="003F2FC5">
        <w:rPr>
          <w:rStyle w:val="accordion-tabbedtab-mobile"/>
        </w:rPr>
        <w:t>Tomazzoli</w:t>
      </w:r>
      <w:proofErr w:type="spellEnd"/>
      <w:r w:rsidRPr="003F2FC5">
        <w:rPr>
          <w:rStyle w:val="accordion-tabbedtab-mobile"/>
        </w:rPr>
        <w:t xml:space="preserve">, L.; Topouzis, F.; </w:t>
      </w:r>
      <w:r w:rsidRPr="003F2FC5">
        <w:t xml:space="preserve">et al. Visual impairment and quality of life in the older European population, the EUREYE study. </w:t>
      </w:r>
      <w:r w:rsidRPr="003F2FC5">
        <w:rPr>
          <w:i/>
          <w:iCs/>
        </w:rPr>
        <w:t xml:space="preserve">Acta </w:t>
      </w:r>
      <w:proofErr w:type="spellStart"/>
      <w:r w:rsidRPr="003F2FC5">
        <w:rPr>
          <w:i/>
          <w:iCs/>
        </w:rPr>
        <w:t>Ophthalmol</w:t>
      </w:r>
      <w:proofErr w:type="spellEnd"/>
      <w:r w:rsidRPr="003F2FC5">
        <w:t xml:space="preserve">. </w:t>
      </w:r>
      <w:r w:rsidRPr="003F2FC5">
        <w:rPr>
          <w:b/>
        </w:rPr>
        <w:t>2011</w:t>
      </w:r>
      <w:r w:rsidRPr="003F2FC5">
        <w:t xml:space="preserve">, </w:t>
      </w:r>
      <w:r w:rsidRPr="003F2FC5">
        <w:rPr>
          <w:i/>
        </w:rPr>
        <w:t>89</w:t>
      </w:r>
      <w:r w:rsidRPr="003F2FC5">
        <w:t>, 608–613. https://doi.org/10.1111/j.1755-3768.2009.01794.x.</w:t>
      </w:r>
    </w:p>
    <w:p w14:paraId="558652E0" w14:textId="77777777" w:rsidR="00DC0E6D" w:rsidRPr="003F2FC5" w:rsidRDefault="00DC0E6D" w:rsidP="00DC0E6D">
      <w:pPr>
        <w:pStyle w:val="MDPI71References"/>
        <w:numPr>
          <w:ilvl w:val="0"/>
          <w:numId w:val="15"/>
        </w:numPr>
      </w:pPr>
      <w:r w:rsidRPr="003F2FC5">
        <w:t xml:space="preserve">Mehta, H.; Kim, L.N.; Mathis, T.; </w:t>
      </w:r>
      <w:proofErr w:type="spellStart"/>
      <w:r w:rsidRPr="003F2FC5">
        <w:t>Zalmay</w:t>
      </w:r>
      <w:proofErr w:type="spellEnd"/>
      <w:r w:rsidRPr="003F2FC5">
        <w:t xml:space="preserve">, P.; </w:t>
      </w:r>
      <w:proofErr w:type="spellStart"/>
      <w:r w:rsidRPr="003F2FC5">
        <w:t>Ghanchi</w:t>
      </w:r>
      <w:proofErr w:type="spellEnd"/>
      <w:r w:rsidRPr="003F2FC5">
        <w:t xml:space="preserve">, F.; </w:t>
      </w:r>
      <w:proofErr w:type="spellStart"/>
      <w:r w:rsidRPr="003F2FC5">
        <w:t>Amoaku</w:t>
      </w:r>
      <w:proofErr w:type="spellEnd"/>
      <w:r w:rsidRPr="003F2FC5">
        <w:t xml:space="preserve">, W.M.; </w:t>
      </w:r>
      <w:proofErr w:type="spellStart"/>
      <w:r w:rsidRPr="003F2FC5">
        <w:t>Kodjikian</w:t>
      </w:r>
      <w:proofErr w:type="spellEnd"/>
      <w:r w:rsidRPr="003F2FC5">
        <w:t xml:space="preserve">, L. Trends in real-world neovascular AMD treatment outcomes in the UK. </w:t>
      </w:r>
      <w:r w:rsidRPr="003F2FC5">
        <w:rPr>
          <w:i/>
          <w:iCs/>
        </w:rPr>
        <w:t xml:space="preserve">Clin. </w:t>
      </w:r>
      <w:proofErr w:type="spellStart"/>
      <w:r w:rsidRPr="003F2FC5">
        <w:rPr>
          <w:i/>
          <w:iCs/>
        </w:rPr>
        <w:t>Ophthalmol</w:t>
      </w:r>
      <w:proofErr w:type="spellEnd"/>
      <w:r w:rsidRPr="003F2FC5">
        <w:t xml:space="preserve">. </w:t>
      </w:r>
      <w:r w:rsidRPr="003F2FC5">
        <w:rPr>
          <w:b/>
        </w:rPr>
        <w:t>2020</w:t>
      </w:r>
      <w:r w:rsidRPr="003F2FC5">
        <w:t xml:space="preserve">, </w:t>
      </w:r>
      <w:r w:rsidRPr="003F2FC5">
        <w:rPr>
          <w:i/>
        </w:rPr>
        <w:t>14</w:t>
      </w:r>
      <w:r w:rsidRPr="003F2FC5">
        <w:t>, 3331–3342. https://doi.org/10.2147/OPTH.S275977.</w:t>
      </w:r>
    </w:p>
    <w:p w14:paraId="1D263118" w14:textId="77777777" w:rsidR="00DC0E6D" w:rsidRPr="00D81434" w:rsidRDefault="00DC0E6D" w:rsidP="00DC0E6D">
      <w:pPr>
        <w:pStyle w:val="MDPI71References"/>
        <w:numPr>
          <w:ilvl w:val="0"/>
          <w:numId w:val="15"/>
        </w:numPr>
        <w:rPr>
          <w:spacing w:val="-4"/>
        </w:rPr>
      </w:pPr>
      <w:r w:rsidRPr="003F2FC5">
        <w:t xml:space="preserve">Gillies, M.C.; </w:t>
      </w:r>
      <w:proofErr w:type="spellStart"/>
      <w:r w:rsidRPr="003F2FC5">
        <w:t>Campain</w:t>
      </w:r>
      <w:proofErr w:type="spellEnd"/>
      <w:r w:rsidRPr="003F2FC5">
        <w:t xml:space="preserve">, A.; </w:t>
      </w:r>
      <w:proofErr w:type="spellStart"/>
      <w:r w:rsidRPr="003F2FC5">
        <w:t>Barthelmes</w:t>
      </w:r>
      <w:proofErr w:type="spellEnd"/>
      <w:r w:rsidRPr="003F2FC5">
        <w:t xml:space="preserve">, D.; Simpson, J.M.; Arnold, J.J.; </w:t>
      </w:r>
      <w:proofErr w:type="spellStart"/>
      <w:r w:rsidRPr="003F2FC5">
        <w:t>Guymer</w:t>
      </w:r>
      <w:proofErr w:type="spellEnd"/>
      <w:r w:rsidRPr="003F2FC5">
        <w:t xml:space="preserve">, R.H.; McAllister, I.L.; Essex, R.W.; </w:t>
      </w:r>
      <w:proofErr w:type="spellStart"/>
      <w:r w:rsidRPr="003F2FC5">
        <w:t>Morlet</w:t>
      </w:r>
      <w:proofErr w:type="spellEnd"/>
      <w:r w:rsidRPr="003F2FC5">
        <w:t xml:space="preserve">, N.; </w:t>
      </w:r>
      <w:proofErr w:type="spellStart"/>
      <w:r w:rsidRPr="00D81434">
        <w:rPr>
          <w:spacing w:val="-4"/>
        </w:rPr>
        <w:t>Hunyor</w:t>
      </w:r>
      <w:proofErr w:type="spellEnd"/>
      <w:r w:rsidRPr="00D81434">
        <w:rPr>
          <w:spacing w:val="-4"/>
        </w:rPr>
        <w:t xml:space="preserve">, A.P.; et al. Long-term outcomes of treatment of neovascular age-related macular degeneration: Data from an observational study. </w:t>
      </w:r>
      <w:r w:rsidRPr="00D81434">
        <w:rPr>
          <w:i/>
          <w:iCs/>
          <w:spacing w:val="-4"/>
        </w:rPr>
        <w:t>Ophthalmology</w:t>
      </w:r>
      <w:r w:rsidRPr="00D81434">
        <w:rPr>
          <w:spacing w:val="-4"/>
        </w:rPr>
        <w:t xml:space="preserve"> </w:t>
      </w:r>
      <w:r w:rsidRPr="00D81434">
        <w:rPr>
          <w:b/>
          <w:spacing w:val="-4"/>
        </w:rPr>
        <w:t>2015</w:t>
      </w:r>
      <w:r w:rsidRPr="00D81434">
        <w:rPr>
          <w:spacing w:val="-4"/>
        </w:rPr>
        <w:t xml:space="preserve">, </w:t>
      </w:r>
      <w:r w:rsidRPr="00D81434">
        <w:rPr>
          <w:i/>
          <w:spacing w:val="-4"/>
        </w:rPr>
        <w:t>122</w:t>
      </w:r>
      <w:r w:rsidRPr="00D81434">
        <w:rPr>
          <w:spacing w:val="-4"/>
        </w:rPr>
        <w:t>, 1837–1845. https://doi.org/10.1016/j.ophtha.2015.05.010.</w:t>
      </w:r>
    </w:p>
    <w:p w14:paraId="5D3637C4" w14:textId="77777777" w:rsidR="00DC0E6D" w:rsidRPr="00775F40" w:rsidRDefault="00DC0E6D" w:rsidP="00DC0E6D">
      <w:pPr>
        <w:pStyle w:val="MDPI71References"/>
        <w:numPr>
          <w:ilvl w:val="0"/>
          <w:numId w:val="15"/>
        </w:numPr>
        <w:rPr>
          <w:spacing w:val="-4"/>
        </w:rPr>
      </w:pPr>
      <w:r w:rsidRPr="00D81434">
        <w:rPr>
          <w:spacing w:val="-4"/>
          <w:lang w:val="es-ES_tradnl"/>
        </w:rPr>
        <w:t xml:space="preserve">Instituto Nacional de Estadística. Estado de Salud Percibido por Estado de Salud Percibido por Edad y Periodo. </w:t>
      </w:r>
      <w:r w:rsidRPr="00775F40">
        <w:rPr>
          <w:spacing w:val="-4"/>
        </w:rPr>
        <w:t>Available online: https://www.ine.es/jaxi/Tabla.htm?path=/t00/ICV/dim3/&amp;file=31304.px (accessed on 1 December 2021).</w:t>
      </w:r>
    </w:p>
    <w:p w14:paraId="04063013" w14:textId="77777777" w:rsidR="00DC0E6D" w:rsidRPr="00775F40" w:rsidRDefault="00DC0E6D" w:rsidP="00DC0E6D">
      <w:pPr>
        <w:pStyle w:val="MDPI71References"/>
        <w:numPr>
          <w:ilvl w:val="0"/>
          <w:numId w:val="15"/>
        </w:numPr>
      </w:pPr>
      <w:r w:rsidRPr="00204444">
        <w:rPr>
          <w:lang w:val="es-ES_tradnl"/>
        </w:rPr>
        <w:t xml:space="preserve">Instituto Nacional de Estadística. </w:t>
      </w:r>
      <w:proofErr w:type="spellStart"/>
      <w:r w:rsidRPr="00204444">
        <w:rPr>
          <w:lang w:val="es-ES_tradnl"/>
        </w:rPr>
        <w:t>National</w:t>
      </w:r>
      <w:proofErr w:type="spellEnd"/>
      <w:r w:rsidRPr="00204444">
        <w:rPr>
          <w:lang w:val="es-ES_tradnl"/>
        </w:rPr>
        <w:t xml:space="preserve"> </w:t>
      </w:r>
      <w:proofErr w:type="spellStart"/>
      <w:r w:rsidRPr="00204444">
        <w:rPr>
          <w:lang w:val="es-ES_tradnl"/>
        </w:rPr>
        <w:t>Health</w:t>
      </w:r>
      <w:proofErr w:type="spellEnd"/>
      <w:r w:rsidRPr="00204444">
        <w:rPr>
          <w:lang w:val="es-ES_tradnl"/>
        </w:rPr>
        <w:t xml:space="preserve"> </w:t>
      </w:r>
      <w:proofErr w:type="spellStart"/>
      <w:r w:rsidRPr="00204444">
        <w:rPr>
          <w:lang w:val="es-ES_tradnl"/>
        </w:rPr>
        <w:t>Survey</w:t>
      </w:r>
      <w:proofErr w:type="spellEnd"/>
      <w:r w:rsidRPr="00204444">
        <w:rPr>
          <w:lang w:val="es-ES_tradnl"/>
        </w:rPr>
        <w:t xml:space="preserve">. </w:t>
      </w:r>
      <w:r w:rsidRPr="00775F40">
        <w:t>Available online: https://www.ine.es/CDINEbase/consultar.do?mes=&amp;operacion=Encuesta+nacional+de+salud&amp;id_oper=Ir (accessed on 15 October 2021).</w:t>
      </w:r>
    </w:p>
    <w:p w14:paraId="7C6F0285" w14:textId="77777777" w:rsidR="00DC0E6D" w:rsidRPr="00D81434" w:rsidRDefault="00DC0E6D" w:rsidP="00DC0E6D">
      <w:pPr>
        <w:pStyle w:val="MDPI71References"/>
        <w:numPr>
          <w:ilvl w:val="0"/>
          <w:numId w:val="15"/>
        </w:numPr>
        <w:rPr>
          <w:spacing w:val="-4"/>
        </w:rPr>
      </w:pPr>
      <w:r w:rsidRPr="00775F40">
        <w:rPr>
          <w:spacing w:val="-4"/>
        </w:rPr>
        <w:t xml:space="preserve">Instituto Nacional de </w:t>
      </w:r>
      <w:proofErr w:type="spellStart"/>
      <w:r w:rsidRPr="00775F40">
        <w:rPr>
          <w:spacing w:val="-4"/>
        </w:rPr>
        <w:t>Estadística</w:t>
      </w:r>
      <w:proofErr w:type="spellEnd"/>
      <w:r w:rsidRPr="00775F40">
        <w:rPr>
          <w:spacing w:val="-4"/>
        </w:rPr>
        <w:t>. Available online: https://www.ine.es/prensa/experimental_ind_multi_calidad_vida.pdf (</w:t>
      </w:r>
      <w:r w:rsidRPr="00D81434">
        <w:rPr>
          <w:spacing w:val="-4"/>
        </w:rPr>
        <w:t>accessed on 8 March 2023).</w:t>
      </w:r>
    </w:p>
    <w:p w14:paraId="49C09C4E" w14:textId="77777777" w:rsidR="00DC0E6D" w:rsidRPr="00D81434" w:rsidRDefault="00DC0E6D" w:rsidP="00DC0E6D">
      <w:pPr>
        <w:pStyle w:val="MDPI71References"/>
        <w:numPr>
          <w:ilvl w:val="0"/>
          <w:numId w:val="15"/>
        </w:numPr>
        <w:rPr>
          <w:spacing w:val="-4"/>
        </w:rPr>
      </w:pPr>
      <w:proofErr w:type="spellStart"/>
      <w:r w:rsidRPr="00D81434">
        <w:rPr>
          <w:spacing w:val="-4"/>
        </w:rPr>
        <w:t>Péntek</w:t>
      </w:r>
      <w:proofErr w:type="spellEnd"/>
      <w:r w:rsidRPr="00D81434">
        <w:rPr>
          <w:spacing w:val="-4"/>
        </w:rPr>
        <w:t xml:space="preserve">, M.; </w:t>
      </w:r>
      <w:proofErr w:type="spellStart"/>
      <w:r w:rsidRPr="00D81434">
        <w:rPr>
          <w:spacing w:val="-4"/>
        </w:rPr>
        <w:t>Brodszky</w:t>
      </w:r>
      <w:proofErr w:type="spellEnd"/>
      <w:r w:rsidRPr="00D81434">
        <w:rPr>
          <w:spacing w:val="-4"/>
        </w:rPr>
        <w:t xml:space="preserve">, V.; </w:t>
      </w:r>
      <w:proofErr w:type="spellStart"/>
      <w:r w:rsidRPr="00D81434">
        <w:rPr>
          <w:spacing w:val="-4"/>
        </w:rPr>
        <w:t>Biró</w:t>
      </w:r>
      <w:proofErr w:type="spellEnd"/>
      <w:r w:rsidRPr="00D81434">
        <w:rPr>
          <w:spacing w:val="-4"/>
        </w:rPr>
        <w:t xml:space="preserve">, Z.; </w:t>
      </w:r>
      <w:proofErr w:type="spellStart"/>
      <w:r w:rsidRPr="00D81434">
        <w:rPr>
          <w:spacing w:val="-4"/>
        </w:rPr>
        <w:t>Kölkedi</w:t>
      </w:r>
      <w:proofErr w:type="spellEnd"/>
      <w:r w:rsidRPr="00D81434">
        <w:rPr>
          <w:spacing w:val="-4"/>
        </w:rPr>
        <w:t xml:space="preserve">, Z.; Dunai, </w:t>
      </w:r>
      <w:r w:rsidRPr="00D81434">
        <w:rPr>
          <w:rFonts w:hint="eastAsia"/>
          <w:spacing w:val="-4"/>
        </w:rPr>
        <w:t>Á</w:t>
      </w:r>
      <w:r w:rsidRPr="00D81434">
        <w:rPr>
          <w:spacing w:val="-4"/>
        </w:rPr>
        <w:t xml:space="preserve">.; </w:t>
      </w:r>
      <w:proofErr w:type="spellStart"/>
      <w:r w:rsidRPr="00D81434">
        <w:rPr>
          <w:spacing w:val="-4"/>
        </w:rPr>
        <w:t>Németh</w:t>
      </w:r>
      <w:proofErr w:type="spellEnd"/>
      <w:r w:rsidRPr="00D81434">
        <w:rPr>
          <w:spacing w:val="-4"/>
        </w:rPr>
        <w:t xml:space="preserve">, J.; </w:t>
      </w:r>
      <w:proofErr w:type="spellStart"/>
      <w:r w:rsidRPr="00D81434">
        <w:rPr>
          <w:spacing w:val="-4"/>
        </w:rPr>
        <w:t>Baji</w:t>
      </w:r>
      <w:proofErr w:type="spellEnd"/>
      <w:r w:rsidRPr="00D81434">
        <w:rPr>
          <w:spacing w:val="-4"/>
        </w:rPr>
        <w:t xml:space="preserve">, P.; </w:t>
      </w:r>
      <w:proofErr w:type="spellStart"/>
      <w:r w:rsidRPr="00D81434">
        <w:rPr>
          <w:spacing w:val="-4"/>
        </w:rPr>
        <w:t>Rencz</w:t>
      </w:r>
      <w:proofErr w:type="spellEnd"/>
      <w:r w:rsidRPr="00D81434">
        <w:rPr>
          <w:spacing w:val="-4"/>
        </w:rPr>
        <w:t xml:space="preserve">, F.; </w:t>
      </w:r>
      <w:proofErr w:type="spellStart"/>
      <w:r w:rsidRPr="00D81434">
        <w:rPr>
          <w:spacing w:val="-4"/>
        </w:rPr>
        <w:t>Gulácsi</w:t>
      </w:r>
      <w:proofErr w:type="spellEnd"/>
      <w:r w:rsidRPr="00D81434">
        <w:rPr>
          <w:spacing w:val="-4"/>
        </w:rPr>
        <w:t xml:space="preserve">, L.; Resch, M.D. Subjective health expectations of patients with age-related macular degeneration treated with </w:t>
      </w:r>
      <w:proofErr w:type="spellStart"/>
      <w:r w:rsidRPr="00D81434">
        <w:rPr>
          <w:spacing w:val="-4"/>
        </w:rPr>
        <w:t>antiVEGF</w:t>
      </w:r>
      <w:proofErr w:type="spellEnd"/>
      <w:r w:rsidRPr="00D81434">
        <w:rPr>
          <w:spacing w:val="-4"/>
        </w:rPr>
        <w:t xml:space="preserve"> drugs. </w:t>
      </w:r>
      <w:r w:rsidRPr="00D81434">
        <w:rPr>
          <w:i/>
          <w:iCs/>
          <w:spacing w:val="-4"/>
        </w:rPr>
        <w:t xml:space="preserve">BMC </w:t>
      </w:r>
      <w:proofErr w:type="spellStart"/>
      <w:r w:rsidRPr="00D81434">
        <w:rPr>
          <w:i/>
          <w:iCs/>
          <w:spacing w:val="-4"/>
        </w:rPr>
        <w:t>Geriatr</w:t>
      </w:r>
      <w:proofErr w:type="spellEnd"/>
      <w:r w:rsidRPr="00D81434">
        <w:rPr>
          <w:spacing w:val="-4"/>
        </w:rPr>
        <w:t xml:space="preserve">. </w:t>
      </w:r>
      <w:r w:rsidRPr="00D81434">
        <w:rPr>
          <w:b/>
          <w:spacing w:val="-4"/>
        </w:rPr>
        <w:t>2017</w:t>
      </w:r>
      <w:r w:rsidRPr="00D81434">
        <w:rPr>
          <w:spacing w:val="-4"/>
        </w:rPr>
        <w:t xml:space="preserve">, </w:t>
      </w:r>
      <w:r w:rsidRPr="00D81434">
        <w:rPr>
          <w:i/>
          <w:spacing w:val="-4"/>
        </w:rPr>
        <w:t>17</w:t>
      </w:r>
      <w:r w:rsidRPr="00D81434">
        <w:rPr>
          <w:spacing w:val="-4"/>
        </w:rPr>
        <w:t>, 233. https://doi.org/10.1186/s12877-017-0619-9.</w:t>
      </w:r>
    </w:p>
    <w:p w14:paraId="7D393D11" w14:textId="77777777" w:rsidR="00DC0E6D" w:rsidRPr="00D81434" w:rsidRDefault="00DC0E6D" w:rsidP="00DC0E6D">
      <w:pPr>
        <w:pStyle w:val="MDPI71References"/>
        <w:numPr>
          <w:ilvl w:val="0"/>
          <w:numId w:val="15"/>
        </w:numPr>
        <w:rPr>
          <w:spacing w:val="-4"/>
        </w:rPr>
      </w:pPr>
      <w:proofErr w:type="spellStart"/>
      <w:r w:rsidRPr="00D81434">
        <w:rPr>
          <w:spacing w:val="-4"/>
        </w:rPr>
        <w:t>Emrani</w:t>
      </w:r>
      <w:proofErr w:type="spellEnd"/>
      <w:r w:rsidRPr="00D81434">
        <w:rPr>
          <w:spacing w:val="-4"/>
        </w:rPr>
        <w:t xml:space="preserve">, Z.; Akbari Sari, A.; </w:t>
      </w:r>
      <w:proofErr w:type="spellStart"/>
      <w:r w:rsidRPr="00D81434">
        <w:rPr>
          <w:spacing w:val="-4"/>
        </w:rPr>
        <w:t>Zeraati</w:t>
      </w:r>
      <w:proofErr w:type="spellEnd"/>
      <w:r w:rsidRPr="00D81434">
        <w:rPr>
          <w:spacing w:val="-4"/>
        </w:rPr>
        <w:t xml:space="preserve">, H.; </w:t>
      </w:r>
      <w:proofErr w:type="spellStart"/>
      <w:r w:rsidRPr="00D81434">
        <w:rPr>
          <w:spacing w:val="-4"/>
        </w:rPr>
        <w:t>Olyaeemanesh</w:t>
      </w:r>
      <w:proofErr w:type="spellEnd"/>
      <w:r w:rsidRPr="00D81434">
        <w:rPr>
          <w:spacing w:val="-4"/>
        </w:rPr>
        <w:t xml:space="preserve">, A.; </w:t>
      </w:r>
      <w:proofErr w:type="spellStart"/>
      <w:r w:rsidRPr="00D81434">
        <w:rPr>
          <w:spacing w:val="-4"/>
        </w:rPr>
        <w:t>Daroudi</w:t>
      </w:r>
      <w:proofErr w:type="spellEnd"/>
      <w:r w:rsidRPr="00D81434">
        <w:rPr>
          <w:spacing w:val="-4"/>
        </w:rPr>
        <w:t xml:space="preserve">, R. Health-related quality of life measured using the EQ-5D-5L: Population norms for the capital of Iran. </w:t>
      </w:r>
      <w:r w:rsidRPr="00D81434">
        <w:rPr>
          <w:i/>
          <w:iCs/>
          <w:spacing w:val="-4"/>
        </w:rPr>
        <w:t>Health Qual. Life Outcomes</w:t>
      </w:r>
      <w:r w:rsidRPr="00D81434">
        <w:rPr>
          <w:spacing w:val="-4"/>
        </w:rPr>
        <w:t xml:space="preserve"> </w:t>
      </w:r>
      <w:r w:rsidRPr="00D81434">
        <w:rPr>
          <w:b/>
          <w:spacing w:val="-4"/>
        </w:rPr>
        <w:t>2020</w:t>
      </w:r>
      <w:r w:rsidRPr="00D81434">
        <w:rPr>
          <w:spacing w:val="-4"/>
        </w:rPr>
        <w:t xml:space="preserve">, </w:t>
      </w:r>
      <w:r w:rsidRPr="00D81434">
        <w:rPr>
          <w:i/>
          <w:spacing w:val="-4"/>
        </w:rPr>
        <w:t>18</w:t>
      </w:r>
      <w:r w:rsidRPr="00D81434">
        <w:rPr>
          <w:spacing w:val="-4"/>
        </w:rPr>
        <w:t>, 108. https://doi.org/10.1186/s12955-020-01365-5.</w:t>
      </w:r>
    </w:p>
    <w:p w14:paraId="17E8A220" w14:textId="77777777" w:rsidR="00DC0E6D" w:rsidRPr="003F2FC5" w:rsidRDefault="00DC0E6D" w:rsidP="00DC0E6D">
      <w:pPr>
        <w:pStyle w:val="MDPI71References"/>
        <w:numPr>
          <w:ilvl w:val="0"/>
          <w:numId w:val="15"/>
        </w:numPr>
      </w:pPr>
      <w:proofErr w:type="spellStart"/>
      <w:r w:rsidRPr="003F2FC5">
        <w:t>Hołownia-Voloskova</w:t>
      </w:r>
      <w:proofErr w:type="spellEnd"/>
      <w:r w:rsidRPr="003F2FC5">
        <w:t xml:space="preserve">, M.; </w:t>
      </w:r>
      <w:proofErr w:type="spellStart"/>
      <w:r w:rsidRPr="003F2FC5">
        <w:t>Tarbastaev</w:t>
      </w:r>
      <w:proofErr w:type="spellEnd"/>
      <w:r w:rsidRPr="003F2FC5">
        <w:t xml:space="preserve">, A.; </w:t>
      </w:r>
      <w:proofErr w:type="spellStart"/>
      <w:r w:rsidRPr="003F2FC5">
        <w:t>Golicki</w:t>
      </w:r>
      <w:proofErr w:type="spellEnd"/>
      <w:r w:rsidRPr="003F2FC5">
        <w:t xml:space="preserve">, D. Population norms of health-related quality of life in Moscow, Russia: The EQ-5D-5L-based survey. </w:t>
      </w:r>
      <w:r w:rsidRPr="003F2FC5">
        <w:rPr>
          <w:i/>
          <w:iCs/>
        </w:rPr>
        <w:t>Qual. Life Res.</w:t>
      </w:r>
      <w:r w:rsidRPr="003F2FC5">
        <w:t xml:space="preserve"> </w:t>
      </w:r>
      <w:r w:rsidRPr="003F2FC5">
        <w:rPr>
          <w:b/>
        </w:rPr>
        <w:t>2021</w:t>
      </w:r>
      <w:r w:rsidRPr="003F2FC5">
        <w:t xml:space="preserve">, </w:t>
      </w:r>
      <w:r w:rsidRPr="003F2FC5">
        <w:rPr>
          <w:i/>
        </w:rPr>
        <w:t>30</w:t>
      </w:r>
      <w:r w:rsidRPr="003F2FC5">
        <w:t>, 831–840. https://doi.org/10.1007/s11136-020-02705-0.</w:t>
      </w:r>
    </w:p>
    <w:p w14:paraId="52A05D4C" w14:textId="77777777" w:rsidR="00DC0E6D" w:rsidRPr="003F2FC5" w:rsidRDefault="00DC0E6D" w:rsidP="00DC0E6D">
      <w:pPr>
        <w:pStyle w:val="MDPI71References"/>
        <w:numPr>
          <w:ilvl w:val="0"/>
          <w:numId w:val="15"/>
        </w:numPr>
      </w:pPr>
      <w:proofErr w:type="spellStart"/>
      <w:r w:rsidRPr="003F2FC5">
        <w:t>Castañeda-Babarro</w:t>
      </w:r>
      <w:proofErr w:type="spellEnd"/>
      <w:r w:rsidRPr="003F2FC5">
        <w:t xml:space="preserve">, A.; </w:t>
      </w:r>
      <w:proofErr w:type="spellStart"/>
      <w:r w:rsidRPr="003F2FC5">
        <w:t>Arbillaga-Etxarri</w:t>
      </w:r>
      <w:proofErr w:type="spellEnd"/>
      <w:r w:rsidRPr="003F2FC5">
        <w:t xml:space="preserve">, A.; Gutiérrez-Santamaría, B.; Coca, A. Physical Activity Change during COVID-19 Confinement. </w:t>
      </w:r>
      <w:r w:rsidRPr="003F2FC5">
        <w:rPr>
          <w:i/>
          <w:iCs/>
        </w:rPr>
        <w:t>Int. J. Environ. Res. Public Health</w:t>
      </w:r>
      <w:r w:rsidRPr="003F2FC5">
        <w:t xml:space="preserve"> </w:t>
      </w:r>
      <w:r w:rsidRPr="003F2FC5">
        <w:rPr>
          <w:b/>
          <w:bCs/>
        </w:rPr>
        <w:t>2020</w:t>
      </w:r>
      <w:r w:rsidRPr="003F2FC5">
        <w:rPr>
          <w:bCs/>
        </w:rPr>
        <w:t xml:space="preserve">, </w:t>
      </w:r>
      <w:r w:rsidRPr="003F2FC5">
        <w:rPr>
          <w:bCs/>
          <w:i/>
        </w:rPr>
        <w:t>17</w:t>
      </w:r>
      <w:r w:rsidRPr="003F2FC5">
        <w:rPr>
          <w:bCs/>
        </w:rPr>
        <w:t>, 6878</w:t>
      </w:r>
      <w:r w:rsidRPr="003F2FC5">
        <w:t>. https://doi.org/10.3390/ijerph17186878.</w:t>
      </w:r>
    </w:p>
    <w:p w14:paraId="6D2804DF" w14:textId="77777777" w:rsidR="00486E14" w:rsidRPr="008D18A2" w:rsidRDefault="00DC0E6D" w:rsidP="008D18A2">
      <w:pPr>
        <w:pStyle w:val="MDPI71References"/>
        <w:numPr>
          <w:ilvl w:val="0"/>
          <w:numId w:val="15"/>
        </w:numPr>
      </w:pPr>
      <w:proofErr w:type="spellStart"/>
      <w:r w:rsidRPr="003F2FC5">
        <w:lastRenderedPageBreak/>
        <w:t>Czeisler</w:t>
      </w:r>
      <w:proofErr w:type="spellEnd"/>
      <w:r w:rsidRPr="003F2FC5">
        <w:t xml:space="preserve">, M.; Kennedy, J.L.; Wiley, J.F.; </w:t>
      </w:r>
      <w:r w:rsidRPr="003F2FC5">
        <w:rPr>
          <w:rStyle w:val="accordion-tabbedtab-mobile"/>
        </w:rPr>
        <w:t xml:space="preserve">Facer-Childs, E.R.; Robbins, R.; Barger, L.K.; </w:t>
      </w:r>
      <w:proofErr w:type="spellStart"/>
      <w:r w:rsidRPr="003F2FC5">
        <w:rPr>
          <w:rStyle w:val="accordion-tabbedtab-mobile"/>
        </w:rPr>
        <w:t>Czeisler</w:t>
      </w:r>
      <w:proofErr w:type="spellEnd"/>
      <w:r w:rsidRPr="003F2FC5">
        <w:rPr>
          <w:rStyle w:val="accordion-tabbedtab-mobile"/>
        </w:rPr>
        <w:t>, C.A.; Rajaratnam, S.M.W.; Howard, M.E.</w:t>
      </w:r>
      <w:r w:rsidRPr="003F2FC5">
        <w:t xml:space="preserve"> Delay or avoidance of routine, urgent and emergency medical care due to concerns about COVID-19 in a region with low COVID-19 prevalence: Victoria, Australia. </w:t>
      </w:r>
      <w:r w:rsidRPr="003F2FC5">
        <w:rPr>
          <w:i/>
          <w:iCs/>
        </w:rPr>
        <w:t>Respirology</w:t>
      </w:r>
      <w:r w:rsidRPr="003F2FC5">
        <w:t xml:space="preserve"> </w:t>
      </w:r>
      <w:r w:rsidRPr="003F2FC5">
        <w:rPr>
          <w:b/>
        </w:rPr>
        <w:t>2021</w:t>
      </w:r>
      <w:r w:rsidRPr="003F2FC5">
        <w:t xml:space="preserve">, </w:t>
      </w:r>
      <w:r w:rsidRPr="003F2FC5">
        <w:rPr>
          <w:i/>
        </w:rPr>
        <w:t>26</w:t>
      </w:r>
      <w:r w:rsidRPr="003F2FC5">
        <w:t>, 707–712. https://doi.org/10.1111/resp.14094.</w:t>
      </w:r>
    </w:p>
    <w:p w14:paraId="334FDE2B" w14:textId="77777777" w:rsidR="00DC0E6D" w:rsidRPr="003F2FC5" w:rsidRDefault="00DC0E6D" w:rsidP="00DC0E6D">
      <w:pPr>
        <w:pStyle w:val="MDPI71References"/>
        <w:numPr>
          <w:ilvl w:val="0"/>
          <w:numId w:val="15"/>
        </w:numPr>
        <w:rPr>
          <w:lang w:val="es-ES_tradnl"/>
        </w:rPr>
      </w:pPr>
      <w:r w:rsidRPr="00775F40">
        <w:t xml:space="preserve">Gonzalez, D.; </w:t>
      </w:r>
      <w:proofErr w:type="spellStart"/>
      <w:r w:rsidRPr="00775F40">
        <w:t>Karpman</w:t>
      </w:r>
      <w:proofErr w:type="spellEnd"/>
      <w:r w:rsidRPr="00775F40">
        <w:t xml:space="preserve">, M.; Haley, J.M. </w:t>
      </w:r>
      <w:r w:rsidRPr="003F2FC5">
        <w:rPr>
          <w:i/>
          <w:iCs/>
        </w:rPr>
        <w:t>Coronavirus Concerns Led More Than 1 in 10 Nonelderly Adults to Delay or Forgo Health Care in Spring 2021</w:t>
      </w:r>
      <w:r w:rsidRPr="003F2FC5">
        <w:t xml:space="preserve">; Coronavirus Pandemic (COVID-19) An RWJF Collection. Robert Wood </w:t>
      </w:r>
      <w:proofErr w:type="spellStart"/>
      <w:r w:rsidRPr="003F2FC5">
        <w:t>Johson</w:t>
      </w:r>
      <w:proofErr w:type="spellEnd"/>
      <w:r w:rsidRPr="003F2FC5">
        <w:t xml:space="preserve"> </w:t>
      </w:r>
      <w:proofErr w:type="spellStart"/>
      <w:r w:rsidRPr="003F2FC5">
        <w:t>Fundation</w:t>
      </w:r>
      <w:proofErr w:type="spellEnd"/>
      <w:r w:rsidRPr="003F2FC5">
        <w:t xml:space="preserve">; </w:t>
      </w:r>
      <w:r w:rsidRPr="003F2FC5">
        <w:rPr>
          <w:lang w:val="es-ES_tradnl"/>
        </w:rPr>
        <w:t xml:space="preserve">Urban </w:t>
      </w:r>
      <w:proofErr w:type="spellStart"/>
      <w:r w:rsidRPr="003F2FC5">
        <w:rPr>
          <w:lang w:val="es-ES_tradnl"/>
        </w:rPr>
        <w:t>Institute</w:t>
      </w:r>
      <w:proofErr w:type="spellEnd"/>
      <w:r w:rsidRPr="003F2FC5">
        <w:rPr>
          <w:lang w:val="es-ES_tradnl"/>
        </w:rPr>
        <w:t>: Washington, DC, USA, 2021.</w:t>
      </w:r>
    </w:p>
    <w:p w14:paraId="1A0AD48A" w14:textId="77777777" w:rsidR="00DC0E6D" w:rsidRPr="005B13C8" w:rsidRDefault="00DC0E6D" w:rsidP="00DC0E6D">
      <w:pPr>
        <w:pStyle w:val="MDPI71References"/>
        <w:numPr>
          <w:ilvl w:val="0"/>
          <w:numId w:val="15"/>
        </w:numPr>
      </w:pPr>
      <w:r w:rsidRPr="00775F40">
        <w:t xml:space="preserve">Borrelli, E.; Grosso, D.; Vella, G.; </w:t>
      </w:r>
      <w:proofErr w:type="spellStart"/>
      <w:r w:rsidRPr="00775F40">
        <w:t>Sacconi</w:t>
      </w:r>
      <w:proofErr w:type="spellEnd"/>
      <w:r w:rsidRPr="00775F40">
        <w:t xml:space="preserve">, R.; Battista, M.; </w:t>
      </w:r>
      <w:proofErr w:type="spellStart"/>
      <w:r w:rsidRPr="00775F40">
        <w:t>Querques</w:t>
      </w:r>
      <w:proofErr w:type="spellEnd"/>
      <w:r w:rsidRPr="00775F40">
        <w:t xml:space="preserve">, L.; </w:t>
      </w:r>
      <w:proofErr w:type="spellStart"/>
      <w:r w:rsidRPr="00775F40">
        <w:t>Zucchiatti</w:t>
      </w:r>
      <w:proofErr w:type="spellEnd"/>
      <w:r w:rsidRPr="00775F40">
        <w:t xml:space="preserve">, I.; </w:t>
      </w:r>
      <w:proofErr w:type="spellStart"/>
      <w:r w:rsidRPr="00775F40">
        <w:t>Prascina</w:t>
      </w:r>
      <w:proofErr w:type="spellEnd"/>
      <w:r w:rsidRPr="00775F40">
        <w:t xml:space="preserve">, F.; Bandello, F.; </w:t>
      </w:r>
      <w:proofErr w:type="spellStart"/>
      <w:r w:rsidRPr="00775F40">
        <w:t>Querques</w:t>
      </w:r>
      <w:proofErr w:type="spellEnd"/>
      <w:r w:rsidRPr="00775F40">
        <w:t xml:space="preserve">, G. </w:t>
      </w:r>
      <w:r w:rsidRPr="003F2FC5">
        <w:t>Short-term outcomes of patients with neovascular exudative AMD: The effect of</w:t>
      </w:r>
      <w:r w:rsidRPr="005B13C8">
        <w:t xml:space="preserve"> COVID-19 pandemic. </w:t>
      </w:r>
      <w:proofErr w:type="spellStart"/>
      <w:r w:rsidRPr="00E428D2">
        <w:rPr>
          <w:i/>
          <w:iCs/>
        </w:rPr>
        <w:t>Graefes</w:t>
      </w:r>
      <w:proofErr w:type="spellEnd"/>
      <w:r w:rsidRPr="00E428D2">
        <w:rPr>
          <w:i/>
          <w:iCs/>
        </w:rPr>
        <w:t xml:space="preserve"> Arch</w:t>
      </w:r>
      <w:r>
        <w:rPr>
          <w:i/>
          <w:iCs/>
        </w:rPr>
        <w:t>.</w:t>
      </w:r>
      <w:r w:rsidRPr="00E428D2">
        <w:rPr>
          <w:i/>
          <w:iCs/>
        </w:rPr>
        <w:t xml:space="preserve"> Clin</w:t>
      </w:r>
      <w:r>
        <w:rPr>
          <w:i/>
          <w:iCs/>
        </w:rPr>
        <w:t>.</w:t>
      </w:r>
      <w:r w:rsidRPr="00E428D2">
        <w:rPr>
          <w:i/>
          <w:iCs/>
        </w:rPr>
        <w:t xml:space="preserve"> Exp</w:t>
      </w:r>
      <w:r>
        <w:rPr>
          <w:i/>
          <w:iCs/>
        </w:rPr>
        <w:t>.</w:t>
      </w:r>
      <w:r w:rsidRPr="00E428D2">
        <w:rPr>
          <w:i/>
          <w:iCs/>
        </w:rPr>
        <w:t xml:space="preserve"> </w:t>
      </w:r>
      <w:proofErr w:type="spellStart"/>
      <w:r w:rsidRPr="00E428D2">
        <w:rPr>
          <w:i/>
          <w:iCs/>
        </w:rPr>
        <w:t>Ophthalmol</w:t>
      </w:r>
      <w:proofErr w:type="spellEnd"/>
      <w:r w:rsidRPr="005B13C8">
        <w:t xml:space="preserve">. </w:t>
      </w:r>
      <w:r>
        <w:rPr>
          <w:b/>
        </w:rPr>
        <w:t>2020</w:t>
      </w:r>
      <w:r>
        <w:t xml:space="preserve">, </w:t>
      </w:r>
      <w:r>
        <w:rPr>
          <w:i/>
        </w:rPr>
        <w:t>258</w:t>
      </w:r>
      <w:r>
        <w:t>, 2621–2628. https://doi.org/</w:t>
      </w:r>
      <w:r w:rsidRPr="005B13C8">
        <w:t>10.1007/s00417-020-04955-7.</w:t>
      </w:r>
    </w:p>
    <w:bookmarkEnd w:id="68"/>
    <w:p w14:paraId="2C887F76" w14:textId="77777777" w:rsidR="00FE6943" w:rsidRPr="004825BB" w:rsidRDefault="00FB785E" w:rsidP="00C16CE3">
      <w:pPr>
        <w:pStyle w:val="MDPI63Notes"/>
      </w:pPr>
      <w:r w:rsidRPr="004825BB">
        <w:rPr>
          <w:b/>
        </w:rPr>
        <w:t>Disclaimer/Publisher’s Note:</w:t>
      </w:r>
      <w:r w:rsidRPr="004825BB">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FE6943" w:rsidRPr="004825BB" w:rsidSect="00922E38">
      <w:headerReference w:type="even" r:id="rId13"/>
      <w:headerReference w:type="default" r:id="rId14"/>
      <w:footerReference w:type="default" r:id="rId15"/>
      <w:headerReference w:type="first" r:id="rId16"/>
      <w:footerReference w:type="first" r:id="rId17"/>
      <w:type w:val="continuous"/>
      <w:pgSz w:w="11906" w:h="16838" w:code="9"/>
      <w:pgMar w:top="1417" w:right="720" w:bottom="1077" w:left="720" w:header="1020" w:footer="340" w:gutter="0"/>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ijana Milikic" w:date="2023-03-17T15:20:00Z" w:initials="TM">
    <w:p w14:paraId="001BA106" w14:textId="77777777" w:rsidR="0085624E" w:rsidRPr="00A9484D" w:rsidRDefault="0085624E" w:rsidP="006744BD">
      <w:pPr>
        <w:pStyle w:val="Textocomentario"/>
        <w:spacing w:before="240" w:after="120"/>
        <w:rPr>
          <w:color w:val="FF0000"/>
        </w:rPr>
      </w:pPr>
      <w:r>
        <w:rPr>
          <w:rStyle w:val="Refdecomentario"/>
        </w:rPr>
        <w:annotationRef/>
      </w:r>
      <w:r w:rsidRPr="00A9484D">
        <w:rPr>
          <w:color w:val="FF0000"/>
        </w:rPr>
        <w:t>1. The initial layout for your manuscript was done by our layout team. Please do not change the layout, otherwise we cannot proceed to the next step.</w:t>
      </w:r>
    </w:p>
    <w:p w14:paraId="3EFD13A9" w14:textId="77777777" w:rsidR="0085624E" w:rsidRPr="00A9484D" w:rsidRDefault="0085624E" w:rsidP="006744BD">
      <w:pPr>
        <w:pStyle w:val="Textocomentario"/>
        <w:spacing w:before="240" w:after="120"/>
        <w:rPr>
          <w:color w:val="FF0000"/>
        </w:rPr>
      </w:pPr>
      <w:r w:rsidRPr="00A9484D">
        <w:rPr>
          <w:color w:val="FF0000"/>
        </w:rPr>
        <w:t>2. Please do not delete our comments.</w:t>
      </w:r>
    </w:p>
    <w:p w14:paraId="0DE801E2" w14:textId="77777777" w:rsidR="0085624E" w:rsidRPr="00A9484D" w:rsidRDefault="0085624E" w:rsidP="006744BD">
      <w:pPr>
        <w:pStyle w:val="Textocomentario"/>
        <w:spacing w:before="240" w:after="120"/>
        <w:rPr>
          <w:color w:val="FF0000"/>
        </w:rPr>
      </w:pPr>
      <w:r w:rsidRPr="00A9484D">
        <w:rPr>
          <w:color w:val="FF0000"/>
        </w:rPr>
        <w:t>3. Please revise and answer all questions that we proposed. Such as: “It should be italic”; “I confirm”; “I have checked and revised all.”</w:t>
      </w:r>
    </w:p>
    <w:p w14:paraId="189CE18B" w14:textId="77777777" w:rsidR="0085624E" w:rsidRPr="00A9484D" w:rsidRDefault="0085624E" w:rsidP="006744BD">
      <w:pPr>
        <w:pStyle w:val="Textocomentario"/>
        <w:spacing w:before="240" w:after="120"/>
        <w:rPr>
          <w:color w:val="FF0000"/>
        </w:rPr>
      </w:pPr>
      <w:r w:rsidRPr="00A9484D">
        <w:rPr>
          <w:color w:val="FF0000"/>
        </w:rPr>
        <w:t>4. Please directly correct on this version.</w:t>
      </w:r>
    </w:p>
    <w:p w14:paraId="55854BF0" w14:textId="77777777" w:rsidR="0085624E" w:rsidRDefault="0085624E">
      <w:pPr>
        <w:pStyle w:val="Textocomentario"/>
      </w:pPr>
    </w:p>
  </w:comment>
  <w:comment w:id="1" w:author="ROSA MARIA COCO MARTIN" w:date="2023-03-19T10:53:00Z" w:initials="C">
    <w:p w14:paraId="173088A4" w14:textId="77777777" w:rsidR="00896C60" w:rsidRDefault="00896C60" w:rsidP="008034CA">
      <w:pPr>
        <w:jc w:val="left"/>
      </w:pPr>
      <w:r>
        <w:rPr>
          <w:rStyle w:val="Refdecomentario"/>
        </w:rPr>
        <w:annotationRef/>
      </w:r>
      <w:r>
        <w:t>I have checked and I confirm the names are correct</w:t>
      </w:r>
    </w:p>
  </w:comment>
  <w:comment w:id="2" w:author="MM" w:date="2023-03-17T08:52:00Z" w:initials="MM">
    <w:p w14:paraId="75BF2A19" w14:textId="18F01995" w:rsidR="0085624E" w:rsidRDefault="0085624E">
      <w:pPr>
        <w:pStyle w:val="Textocomentario"/>
      </w:pPr>
      <w:r>
        <w:rPr>
          <w:rStyle w:val="Refdecomentario"/>
        </w:rPr>
        <w:annotationRef/>
      </w:r>
      <w:r>
        <w:t>Please check that intended meaning has been retained.</w:t>
      </w:r>
    </w:p>
  </w:comment>
  <w:comment w:id="3" w:author="ROSA MARIA COCO MARTIN" w:date="2023-03-19T11:00:00Z" w:initials="C">
    <w:p w14:paraId="6DA40D56" w14:textId="77777777" w:rsidR="00896C60" w:rsidRDefault="00896C60" w:rsidP="00DD3C1E">
      <w:pPr>
        <w:jc w:val="left"/>
      </w:pPr>
      <w:r>
        <w:rPr>
          <w:rStyle w:val="Refdecomentario"/>
        </w:rPr>
        <w:annotationRef/>
      </w:r>
      <w:r>
        <w:t>Yes. The intended meaning has been retained</w:t>
      </w:r>
    </w:p>
  </w:comment>
  <w:comment w:id="4" w:author="MDPI" w:date="2023-03-17T11:42:00Z" w:initials="M">
    <w:p w14:paraId="579E3F78" w14:textId="77777777" w:rsidR="0085624E" w:rsidRDefault="0085624E" w:rsidP="000315FA">
      <w:pPr>
        <w:pStyle w:val="Textocomentario"/>
        <w:jc w:val="left"/>
      </w:pPr>
      <w:r>
        <w:rPr>
          <w:rStyle w:val="Refdecomentario"/>
        </w:rPr>
        <w:annotationRef/>
      </w:r>
      <w:r>
        <w:t>Highlighted author names are different from the ones submitted online at susy.mdpi.com. Please confirm which ones are correct.</w:t>
      </w:r>
    </w:p>
  </w:comment>
  <w:comment w:id="6" w:author="ROSA MARIA COCO MARTIN" w:date="2023-03-19T11:01:00Z" w:initials="C">
    <w:p w14:paraId="6CF48A60" w14:textId="77777777" w:rsidR="00896C60" w:rsidRDefault="00896C60" w:rsidP="00C7504A">
      <w:pPr>
        <w:jc w:val="left"/>
      </w:pPr>
      <w:r>
        <w:rPr>
          <w:rStyle w:val="Refdecomentario"/>
        </w:rPr>
        <w:annotationRef/>
      </w:r>
      <w:r>
        <w:t>These ones are the correct, thanks</w:t>
      </w:r>
    </w:p>
  </w:comment>
  <w:comment w:id="5" w:author="MDPI" w:date="2023-03-17T10:57:00Z" w:initials="M">
    <w:p w14:paraId="6CF5CA0A" w14:textId="3C240C98" w:rsidR="0085624E" w:rsidRDefault="0085624E">
      <w:pPr>
        <w:pStyle w:val="Textocomentario"/>
      </w:pPr>
      <w:r>
        <w:rPr>
          <w:rStyle w:val="Refdecomentario"/>
        </w:rPr>
        <w:annotationRef/>
      </w:r>
      <w:r>
        <w:t xml:space="preserve">Please carefully check the accuracy of names and affiliations. </w:t>
      </w:r>
    </w:p>
  </w:comment>
  <w:comment w:id="7" w:author="ROSA MARIA COCO MARTIN" w:date="2023-03-19T11:01:00Z" w:initials="C">
    <w:p w14:paraId="230F47C0" w14:textId="77777777" w:rsidR="00896C60" w:rsidRDefault="00896C60" w:rsidP="009A1F06">
      <w:pPr>
        <w:jc w:val="left"/>
      </w:pPr>
      <w:r>
        <w:rPr>
          <w:rStyle w:val="Refdecomentario"/>
        </w:rPr>
        <w:annotationRef/>
      </w:r>
      <w:r>
        <w:t>They are correct. Thanks</w:t>
      </w:r>
    </w:p>
  </w:comment>
  <w:comment w:id="9" w:author="Tijana Milikic" w:date="2023-03-17T15:31:00Z" w:initials="TM">
    <w:p w14:paraId="2C54CD9B" w14:textId="2EA95DC5" w:rsidR="0085624E" w:rsidRDefault="0085624E">
      <w:pPr>
        <w:pStyle w:val="Textocomentario"/>
      </w:pPr>
      <w:r>
        <w:rPr>
          <w:rStyle w:val="Refdecomentario"/>
        </w:rPr>
        <w:annotationRef/>
      </w:r>
      <w:r>
        <w:t>Please add the postal code (or ZIP code in the U.S.). If the postal code is not available, Post Office Box number can be added instead.</w:t>
      </w:r>
    </w:p>
    <w:p w14:paraId="4C608368" w14:textId="77777777" w:rsidR="0085624E" w:rsidRDefault="0085624E">
      <w:pPr>
        <w:pStyle w:val="Textocomentario"/>
      </w:pPr>
    </w:p>
  </w:comment>
  <w:comment w:id="11" w:author="ROSA MARIA COCO MARTIN" w:date="2023-03-19T11:02:00Z" w:initials="C">
    <w:p w14:paraId="5D228492" w14:textId="77777777" w:rsidR="00896C60" w:rsidRDefault="00896C60" w:rsidP="00CB1FAA">
      <w:pPr>
        <w:jc w:val="left"/>
      </w:pPr>
      <w:r>
        <w:rPr>
          <w:rStyle w:val="Refdecomentario"/>
        </w:rPr>
        <w:annotationRef/>
      </w:r>
      <w:r>
        <w:t>We added the postal code of Palencia: 34004</w:t>
      </w:r>
    </w:p>
  </w:comment>
  <w:comment w:id="10" w:author="Usuario de Microsoft Office" w:date="2023-03-18T10:54:00Z" w:initials="Office">
    <w:p w14:paraId="2D9E0D4A" w14:textId="659740EE" w:rsidR="0085624E" w:rsidRDefault="0085624E">
      <w:pPr>
        <w:pStyle w:val="Textocomentario"/>
      </w:pPr>
      <w:r>
        <w:rPr>
          <w:rStyle w:val="Refdecomentario"/>
        </w:rPr>
        <w:annotationRef/>
      </w:r>
      <w:r>
        <w:t>Postal code: 34004</w:t>
      </w:r>
    </w:p>
  </w:comment>
  <w:comment w:id="12" w:author="Tijana Milikic" w:date="2023-03-17T15:31:00Z" w:initials="TM">
    <w:p w14:paraId="2370A7ED" w14:textId="77777777" w:rsidR="0085624E" w:rsidRDefault="0085624E">
      <w:pPr>
        <w:pStyle w:val="Textocomentario"/>
      </w:pPr>
      <w:r>
        <w:rPr>
          <w:rStyle w:val="Refdecomentario"/>
        </w:rPr>
        <w:annotationRef/>
      </w:r>
      <w:r>
        <w:t>We added post code, the same in affiliations below, please check and confirm.</w:t>
      </w:r>
    </w:p>
  </w:comment>
  <w:comment w:id="13" w:author="ROSA MARIA COCO MARTIN" w:date="2023-03-19T11:03:00Z" w:initials="C">
    <w:p w14:paraId="587D3B10" w14:textId="77777777" w:rsidR="00455C91" w:rsidRDefault="00455C91" w:rsidP="00790E6F">
      <w:pPr>
        <w:jc w:val="left"/>
      </w:pPr>
      <w:r>
        <w:rPr>
          <w:rStyle w:val="Refdecomentario"/>
        </w:rPr>
        <w:annotationRef/>
      </w:r>
      <w:r>
        <w:t>Checked and confirmed</w:t>
      </w:r>
    </w:p>
  </w:comment>
  <w:comment w:id="14" w:author="Tijana Milikic" w:date="2023-03-17T15:31:00Z" w:initials="TM">
    <w:p w14:paraId="33E6F2FC" w14:textId="596A611C" w:rsidR="0085624E" w:rsidRDefault="0085624E">
      <w:pPr>
        <w:pStyle w:val="Textocomentario"/>
      </w:pPr>
      <w:r>
        <w:rPr>
          <w:rStyle w:val="Refdecomentario"/>
        </w:rPr>
        <w:annotationRef/>
      </w:r>
      <w:r>
        <w:t>Added full names of insitutes, please check and confirm.</w:t>
      </w:r>
    </w:p>
  </w:comment>
  <w:comment w:id="15" w:author="ROSA MARIA COCO MARTIN" w:date="2023-03-19T11:05:00Z" w:initials="C">
    <w:p w14:paraId="3C18CEEB" w14:textId="77777777" w:rsidR="00455C91" w:rsidRDefault="00455C91" w:rsidP="0041614C">
      <w:pPr>
        <w:jc w:val="left"/>
      </w:pPr>
      <w:r>
        <w:rPr>
          <w:rStyle w:val="Refdecomentario"/>
        </w:rPr>
        <w:annotationRef/>
      </w:r>
      <w:r>
        <w:t xml:space="preserve">Corrected: Facultad de Medicina  of the Universidad de Valladolid has been added </w:t>
      </w:r>
    </w:p>
  </w:comment>
  <w:comment w:id="16" w:author="MDPI" w:date="2023-03-17T11:17:00Z" w:initials="M">
    <w:p w14:paraId="3E0476C1" w14:textId="475D747A" w:rsidR="0085624E" w:rsidRDefault="0085624E" w:rsidP="00672FA2">
      <w:pPr>
        <w:pStyle w:val="Textocomentario"/>
      </w:pPr>
      <w:r>
        <w:rPr>
          <w:rStyle w:val="Refdecomentario"/>
        </w:rPr>
        <w:annotationRef/>
      </w:r>
      <w:r>
        <w:t>Please check all author names carefully.</w:t>
      </w:r>
    </w:p>
  </w:comment>
  <w:comment w:id="17" w:author="ROSA MARIA COCO MARTIN" w:date="2023-03-19T11:05:00Z" w:initials="C">
    <w:p w14:paraId="177DD72E" w14:textId="77777777" w:rsidR="00455C91" w:rsidRDefault="00455C91" w:rsidP="00507170">
      <w:pPr>
        <w:jc w:val="left"/>
      </w:pPr>
      <w:r>
        <w:rPr>
          <w:rStyle w:val="Refdecomentario"/>
        </w:rPr>
        <w:annotationRef/>
      </w:r>
      <w:r>
        <w:t>It is OK</w:t>
      </w:r>
    </w:p>
  </w:comment>
  <w:comment w:id="18" w:author="MDPI" w:date="2023-03-17T11:18:00Z" w:initials="M">
    <w:p w14:paraId="4C4C8F59" w14:textId="5FFD1CBE" w:rsidR="0085624E" w:rsidRDefault="0085624E">
      <w:pPr>
        <w:pStyle w:val="Textocomentario"/>
      </w:pPr>
      <w:r>
        <w:rPr>
          <w:rStyle w:val="Refdecomentario"/>
        </w:rPr>
        <w:annotationRef/>
      </w:r>
      <w:r>
        <w:t xml:space="preserve">We changed comma to </w:t>
      </w:r>
      <w:r w:rsidRPr="002A6EBF">
        <w:t>semicolon</w:t>
      </w:r>
      <w:r>
        <w:t>. Please confirm this revision.</w:t>
      </w:r>
    </w:p>
  </w:comment>
  <w:comment w:id="20" w:author="ROSA MARIA COCO MARTIN" w:date="2023-03-19T11:06:00Z" w:initials="C">
    <w:p w14:paraId="69D5CA31" w14:textId="77777777" w:rsidR="00455C91" w:rsidRDefault="00455C91" w:rsidP="005C5B4B">
      <w:pPr>
        <w:jc w:val="left"/>
      </w:pPr>
      <w:r>
        <w:rPr>
          <w:rStyle w:val="Refdecomentario"/>
        </w:rPr>
        <w:annotationRef/>
      </w:r>
      <w:r>
        <w:t>It is OK</w:t>
      </w:r>
    </w:p>
  </w:comment>
  <w:comment w:id="19" w:author="Usuario de Microsoft Office" w:date="2023-03-18T11:03:00Z" w:initials="Office">
    <w:p w14:paraId="30241CE1" w14:textId="268F1583" w:rsidR="0085624E" w:rsidRDefault="0085624E">
      <w:pPr>
        <w:pStyle w:val="Textocomentario"/>
      </w:pPr>
      <w:r>
        <w:rPr>
          <w:rStyle w:val="Refdecomentario"/>
        </w:rPr>
        <w:annotationRef/>
      </w:r>
      <w:r>
        <w:t>OK</w:t>
      </w:r>
    </w:p>
  </w:comment>
  <w:comment w:id="23" w:author="Usuario de Microsoft Office" w:date="2023-03-18T20:01:00Z" w:initials="Office">
    <w:p w14:paraId="7474AB84" w14:textId="77777777" w:rsidR="00455C91" w:rsidRDefault="00943496" w:rsidP="00A221D2">
      <w:pPr>
        <w:jc w:val="left"/>
      </w:pPr>
      <w:r>
        <w:rPr>
          <w:rStyle w:val="Refdecomentario"/>
        </w:rPr>
        <w:annotationRef/>
      </w:r>
      <w:r w:rsidR="00455C91">
        <w:rPr>
          <w:highlight w:val="green"/>
        </w:rPr>
        <w:t>The correct reference are 3,5</w:t>
      </w:r>
    </w:p>
  </w:comment>
  <w:comment w:id="24" w:author="Tijana Milikic" w:date="2023-03-17T15:21:00Z" w:initials="TM">
    <w:p w14:paraId="3AE4E79B" w14:textId="486836DB" w:rsidR="0085624E" w:rsidRDefault="0085624E" w:rsidP="00A44C61">
      <w:pPr>
        <w:pStyle w:val="Textocomentario"/>
        <w:adjustRightInd w:val="0"/>
        <w:snapToGrid w:val="0"/>
        <w:spacing w:line="276" w:lineRule="auto"/>
      </w:pPr>
      <w:r>
        <w:rPr>
          <w:rStyle w:val="Refdecomentario"/>
        </w:rPr>
        <w:annotationRef/>
      </w:r>
      <w:r w:rsidRPr="00C3261D">
        <w:t>Please, provide the location (city, state abbreviation (for USA and Canada), country) of all suppliers, manufacturers, and software vendors. Please review and revise throughout the manuscript. Example: oxalic acid (Sinopharm Chemical Reagent Co. Ltd., Shanghai, China).</w:t>
      </w:r>
    </w:p>
    <w:p w14:paraId="7A95FA80" w14:textId="77777777" w:rsidR="0085624E" w:rsidRDefault="0085624E">
      <w:pPr>
        <w:pStyle w:val="Textocomentario"/>
      </w:pPr>
    </w:p>
  </w:comment>
  <w:comment w:id="26" w:author="ROSA MARIA COCO MARTIN" w:date="2023-03-19T11:07:00Z" w:initials="C">
    <w:p w14:paraId="2DA78808" w14:textId="77777777" w:rsidR="00455C91" w:rsidRDefault="00455C91" w:rsidP="0018557C">
      <w:pPr>
        <w:jc w:val="left"/>
      </w:pPr>
      <w:r>
        <w:rPr>
          <w:rStyle w:val="Refdecomentario"/>
        </w:rPr>
        <w:annotationRef/>
      </w:r>
      <w:r>
        <w:t>The only software that have been used is the R-4.1.0 package and the company and location has been added.</w:t>
      </w:r>
    </w:p>
  </w:comment>
  <w:comment w:id="25" w:author="Usuario de Microsoft Office" w:date="2023-03-18T19:08:00Z" w:initials="Office">
    <w:p w14:paraId="66B7EE7E" w14:textId="26B0CED1" w:rsidR="00C73519" w:rsidRDefault="00C73519">
      <w:pPr>
        <w:pStyle w:val="Textocomentario"/>
      </w:pPr>
      <w:r>
        <w:rPr>
          <w:rStyle w:val="Refdecomentario"/>
        </w:rPr>
        <w:annotationRef/>
      </w:r>
      <w:r>
        <w:t xml:space="preserve">The only software that have been used is the </w:t>
      </w:r>
      <w:r w:rsidRPr="00C73519">
        <w:t>R-4.1.0 package</w:t>
      </w:r>
      <w:r>
        <w:t xml:space="preserve"> and the</w:t>
      </w:r>
      <w:r w:rsidRPr="00C73519">
        <w:t xml:space="preserve"> company and location</w:t>
      </w:r>
      <w:r>
        <w:t xml:space="preserve"> has been added.</w:t>
      </w:r>
    </w:p>
  </w:comment>
  <w:comment w:id="27" w:author="MDPI" w:date="2023-03-17T11:10:00Z" w:initials="M">
    <w:p w14:paraId="39454A7D" w14:textId="77777777" w:rsidR="0085624E" w:rsidRDefault="0085624E">
      <w:pPr>
        <w:pStyle w:val="Textocomentario"/>
      </w:pPr>
      <w:r>
        <w:rPr>
          <w:rStyle w:val="Refdecomentario"/>
        </w:rPr>
        <w:annotationRef/>
      </w:r>
      <w:r>
        <w:t>We added the section number. Please confirm. S</w:t>
      </w:r>
      <w:r>
        <w:rPr>
          <w:rFonts w:hint="eastAsia"/>
        </w:rPr>
        <w:t>ame</w:t>
      </w:r>
      <w:r>
        <w:t xml:space="preserve"> </w:t>
      </w:r>
      <w:r>
        <w:rPr>
          <w:rFonts w:hint="eastAsia"/>
        </w:rPr>
        <w:t>below</w:t>
      </w:r>
      <w:r>
        <w:t>.</w:t>
      </w:r>
    </w:p>
  </w:comment>
  <w:comment w:id="28" w:author="Usuario de Microsoft Office" w:date="2023-03-18T11:09:00Z" w:initials="Office">
    <w:p w14:paraId="32477AC6" w14:textId="77777777" w:rsidR="0085624E" w:rsidRDefault="0085624E">
      <w:pPr>
        <w:pStyle w:val="Textocomentario"/>
      </w:pPr>
      <w:r>
        <w:rPr>
          <w:rStyle w:val="Refdecomentario"/>
        </w:rPr>
        <w:annotationRef/>
      </w:r>
      <w:r>
        <w:t>Yes, it is OK</w:t>
      </w:r>
    </w:p>
  </w:comment>
  <w:comment w:id="29" w:author="Usuario de Microsoft Office" w:date="2023-03-18T20:08:00Z" w:initials="Office">
    <w:p w14:paraId="7B3DBDD7" w14:textId="77777777" w:rsidR="007B4127" w:rsidRDefault="007B4127">
      <w:pPr>
        <w:pStyle w:val="Textocomentario"/>
      </w:pPr>
      <w:r>
        <w:rPr>
          <w:rStyle w:val="Refdecomentario"/>
        </w:rPr>
        <w:annotationRef/>
      </w:r>
      <w:r w:rsidRPr="008D18A2">
        <w:rPr>
          <w:highlight w:val="green"/>
        </w:rPr>
        <w:t>The correct reference is 19</w:t>
      </w:r>
    </w:p>
  </w:comment>
  <w:comment w:id="30" w:author="MM" w:date="2023-03-17T11:37:00Z" w:initials="MM">
    <w:p w14:paraId="0AA8DEFD" w14:textId="77777777" w:rsidR="0085624E" w:rsidRDefault="0085624E">
      <w:pPr>
        <w:pStyle w:val="Textocomentario"/>
      </w:pPr>
      <w:r>
        <w:rPr>
          <w:rStyle w:val="Refdecomentario"/>
        </w:rPr>
        <w:annotationRef/>
      </w:r>
      <w:r>
        <w:t>Please check that intended meaning has been retained.</w:t>
      </w:r>
    </w:p>
  </w:comment>
  <w:comment w:id="32" w:author="ROSA MARIA COCO MARTIN" w:date="2023-03-19T11:08:00Z" w:initials="C">
    <w:p w14:paraId="6955BD31" w14:textId="77777777" w:rsidR="00455C91" w:rsidRDefault="00455C91" w:rsidP="00EA0116">
      <w:pPr>
        <w:jc w:val="left"/>
      </w:pPr>
      <w:r>
        <w:rPr>
          <w:rStyle w:val="Refdecomentario"/>
        </w:rPr>
        <w:annotationRef/>
      </w:r>
      <w:r>
        <w:t>Yes it is Ok</w:t>
      </w:r>
    </w:p>
  </w:comment>
  <w:comment w:id="31" w:author="Usuario de Microsoft Office" w:date="2023-03-18T11:07:00Z" w:initials="Office">
    <w:p w14:paraId="0B7F4962" w14:textId="7938E7F1" w:rsidR="0085624E" w:rsidRDefault="0085624E">
      <w:pPr>
        <w:pStyle w:val="Textocomentario"/>
      </w:pPr>
      <w:r>
        <w:rPr>
          <w:rStyle w:val="Refdecomentario"/>
        </w:rPr>
        <w:annotationRef/>
      </w:r>
      <w:r>
        <w:t>Yes. It is OK</w:t>
      </w:r>
    </w:p>
  </w:comment>
  <w:comment w:id="33" w:author="Tijana Milikic" w:date="2023-03-17T15:34:00Z" w:initials="TM">
    <w:p w14:paraId="2D2EF44B" w14:textId="77777777" w:rsidR="0085624E" w:rsidRDefault="0085624E">
      <w:pPr>
        <w:pStyle w:val="Textocomentario"/>
      </w:pPr>
      <w:r>
        <w:rPr>
          <w:rStyle w:val="Refdecomentario"/>
        </w:rPr>
        <w:annotationRef/>
      </w:r>
      <w:r>
        <w:t>Newly added company and location, please confirm.</w:t>
      </w:r>
    </w:p>
  </w:comment>
  <w:comment w:id="34" w:author="Usuario de Microsoft Office" w:date="2023-03-18T11:13:00Z" w:initials="Office">
    <w:p w14:paraId="7D5EA3DB" w14:textId="77777777" w:rsidR="0085624E" w:rsidRDefault="0085624E">
      <w:pPr>
        <w:pStyle w:val="Textocomentario"/>
      </w:pPr>
      <w:r>
        <w:rPr>
          <w:rStyle w:val="Refdecomentario"/>
        </w:rPr>
        <w:annotationRef/>
      </w:r>
      <w:r>
        <w:t>Yes. It is correct</w:t>
      </w:r>
    </w:p>
  </w:comment>
  <w:comment w:id="35" w:author="MDPI" w:date="2023-03-17T16:08:00Z" w:initials="M">
    <w:p w14:paraId="32C0F4C2" w14:textId="77777777" w:rsidR="0085624E" w:rsidRDefault="0085624E" w:rsidP="000315FA">
      <w:pPr>
        <w:pStyle w:val="Textocomentario"/>
        <w:jc w:val="left"/>
      </w:pPr>
      <w:r>
        <w:rPr>
          <w:rStyle w:val="Refdecomentario"/>
        </w:rPr>
        <w:annotationRef/>
      </w:r>
      <w:r>
        <w:t>We moved the table after its first citation, please confirm.</w:t>
      </w:r>
    </w:p>
  </w:comment>
  <w:comment w:id="36" w:author="Usuario de Microsoft Office" w:date="2023-03-18T11:14:00Z" w:initials="Office">
    <w:p w14:paraId="2F7A750B" w14:textId="77777777" w:rsidR="0085624E" w:rsidRDefault="0085624E">
      <w:pPr>
        <w:pStyle w:val="Textocomentario"/>
      </w:pPr>
      <w:r>
        <w:rPr>
          <w:rStyle w:val="Refdecomentario"/>
        </w:rPr>
        <w:annotationRef/>
      </w:r>
      <w:r>
        <w:t>It is correct</w:t>
      </w:r>
    </w:p>
  </w:comment>
  <w:comment w:id="37" w:author="MDPI" w:date="2023-03-17T16:10:00Z" w:initials="M">
    <w:p w14:paraId="07E8F42D" w14:textId="77777777" w:rsidR="0085624E" w:rsidRDefault="0085624E" w:rsidP="000315FA">
      <w:pPr>
        <w:pStyle w:val="Textocomentario"/>
        <w:jc w:val="left"/>
      </w:pPr>
      <w:r>
        <w:rPr>
          <w:rStyle w:val="Refdecomentario"/>
        </w:rPr>
        <w:annotationRef/>
      </w:r>
      <w:r>
        <w:t xml:space="preserve">We changed hyphen into </w:t>
      </w:r>
      <w:r>
        <w:t>em dash, please confirm.</w:t>
      </w:r>
    </w:p>
  </w:comment>
  <w:comment w:id="38" w:author="Usuario de Microsoft Office" w:date="2023-03-18T11:17:00Z" w:initials="Office">
    <w:p w14:paraId="0EEC1946" w14:textId="77777777" w:rsidR="0085624E" w:rsidRDefault="0085624E">
      <w:pPr>
        <w:pStyle w:val="Textocomentario"/>
      </w:pPr>
      <w:r>
        <w:rPr>
          <w:rStyle w:val="Refdecomentario"/>
        </w:rPr>
        <w:annotationRef/>
      </w:r>
      <w:r>
        <w:t>It is correct</w:t>
      </w:r>
    </w:p>
  </w:comment>
  <w:comment w:id="39" w:author="Tijana Milikic" w:date="2023-03-17T15:37:00Z" w:initials="TM">
    <w:p w14:paraId="12924B61" w14:textId="77777777" w:rsidR="0085624E" w:rsidRDefault="0085624E">
      <w:pPr>
        <w:pStyle w:val="Textocomentario"/>
      </w:pPr>
      <w:r>
        <w:rPr>
          <w:rStyle w:val="Refdecomentario"/>
        </w:rPr>
        <w:annotationRef/>
      </w:r>
      <w:r>
        <w:t xml:space="preserve">Newly added </w:t>
      </w:r>
      <w:r>
        <w:t>en-dash for range, please check and confirm.</w:t>
      </w:r>
    </w:p>
  </w:comment>
  <w:comment w:id="40" w:author="Usuario de Microsoft Office" w:date="2023-03-18T11:19:00Z" w:initials="Office">
    <w:p w14:paraId="11627D84" w14:textId="77777777" w:rsidR="0085624E" w:rsidRDefault="0085624E">
      <w:pPr>
        <w:pStyle w:val="Textocomentario"/>
      </w:pPr>
      <w:r>
        <w:rPr>
          <w:rStyle w:val="Refdecomentario"/>
        </w:rPr>
        <w:annotationRef/>
      </w:r>
      <w:r>
        <w:t>It is correct</w:t>
      </w:r>
    </w:p>
  </w:comment>
  <w:comment w:id="41" w:author="MM" w:date="2023-03-17T11:00:00Z" w:initials="MM">
    <w:p w14:paraId="0A75EA0D" w14:textId="77777777" w:rsidR="0085624E" w:rsidRDefault="0085624E">
      <w:pPr>
        <w:pStyle w:val="Textocomentario"/>
      </w:pPr>
      <w:r>
        <w:rPr>
          <w:rStyle w:val="Refdecomentario"/>
        </w:rPr>
        <w:annotationRef/>
      </w:r>
      <w:r>
        <w:t>Please check that intended meaning has been retained.</w:t>
      </w:r>
    </w:p>
  </w:comment>
  <w:comment w:id="42" w:author="Usuario de Microsoft Office" w:date="2023-03-18T11:22:00Z" w:initials="Office">
    <w:p w14:paraId="68A0B7EE" w14:textId="77777777" w:rsidR="0085624E" w:rsidRDefault="0085624E">
      <w:pPr>
        <w:pStyle w:val="Textocomentario"/>
      </w:pPr>
      <w:r>
        <w:rPr>
          <w:rStyle w:val="Refdecomentario"/>
        </w:rPr>
        <w:annotationRef/>
      </w:r>
      <w:r>
        <w:t>Yes. The intended meaning has been retained</w:t>
      </w:r>
    </w:p>
  </w:comment>
  <w:comment w:id="43" w:author="MM" w:date="2023-03-17T11:05:00Z" w:initials="MM">
    <w:p w14:paraId="78BD230A" w14:textId="77777777" w:rsidR="0085624E" w:rsidRDefault="0085624E">
      <w:pPr>
        <w:pStyle w:val="Textocomentario"/>
      </w:pPr>
      <w:r>
        <w:rPr>
          <w:rStyle w:val="Refdecomentario"/>
        </w:rPr>
        <w:annotationRef/>
      </w:r>
      <w:r>
        <w:t>Please check that intended meaning has been retained.</w:t>
      </w:r>
    </w:p>
    <w:p w14:paraId="0AF620F6" w14:textId="77777777" w:rsidR="0085624E" w:rsidRDefault="0085624E">
      <w:pPr>
        <w:pStyle w:val="Textocomentario"/>
      </w:pPr>
    </w:p>
  </w:comment>
  <w:comment w:id="44" w:author="Usuario de Microsoft Office" w:date="2023-03-18T11:25:00Z" w:initials="Office">
    <w:p w14:paraId="1F5B2741" w14:textId="77777777" w:rsidR="0085624E" w:rsidRDefault="0085624E">
      <w:pPr>
        <w:pStyle w:val="Textocomentario"/>
      </w:pPr>
      <w:r>
        <w:rPr>
          <w:rStyle w:val="Refdecomentario"/>
        </w:rPr>
        <w:annotationRef/>
      </w:r>
      <w:r>
        <w:t>Yes. It is correct</w:t>
      </w:r>
    </w:p>
  </w:comment>
  <w:comment w:id="45" w:author="MDPI" w:date="2023-03-17T16:13:00Z" w:initials="M">
    <w:p w14:paraId="06FDB0B3" w14:textId="77777777" w:rsidR="0085624E" w:rsidRDefault="0085624E" w:rsidP="000315FA">
      <w:pPr>
        <w:pStyle w:val="Textocomentario"/>
        <w:jc w:val="left"/>
      </w:pPr>
      <w:r>
        <w:rPr>
          <w:rStyle w:val="Refdecomentario"/>
        </w:rPr>
        <w:annotationRef/>
      </w:r>
      <w:r>
        <w:t xml:space="preserve">The contents of this figure are not legible. Please replace the image with one of a sufficiently high resolution (min. 1000 </w:t>
      </w:r>
      <w:r>
        <w:t>pixels width/height, or a resolution of 300 dpi or higher).</w:t>
      </w:r>
    </w:p>
  </w:comment>
  <w:comment w:id="46" w:author="Usuario de Microsoft Office" w:date="2023-03-18T18:52:00Z" w:initials="Office">
    <w:p w14:paraId="4D706C76" w14:textId="77777777" w:rsidR="000F472E" w:rsidRDefault="000F472E">
      <w:pPr>
        <w:pStyle w:val="Textocomentario"/>
      </w:pPr>
      <w:r>
        <w:rPr>
          <w:rStyle w:val="Refdecomentario"/>
        </w:rPr>
        <w:annotationRef/>
      </w:r>
      <w:r>
        <w:t>Done</w:t>
      </w:r>
    </w:p>
  </w:comment>
  <w:comment w:id="47" w:author="MM" w:date="2023-03-17T11:30:00Z" w:initials="MM">
    <w:p w14:paraId="6CFDD5DD" w14:textId="77777777" w:rsidR="0085624E" w:rsidRDefault="0085624E">
      <w:pPr>
        <w:pStyle w:val="Textocomentario"/>
      </w:pPr>
      <w:r>
        <w:rPr>
          <w:rStyle w:val="Refdecomentario"/>
        </w:rPr>
        <w:annotationRef/>
      </w:r>
      <w:r>
        <w:t>Please check that intended meaning has been retained.</w:t>
      </w:r>
    </w:p>
  </w:comment>
  <w:comment w:id="48" w:author="Usuario de Microsoft Office" w:date="2023-03-18T11:27:00Z" w:initials="Office">
    <w:p w14:paraId="610267CF" w14:textId="77777777" w:rsidR="0085624E" w:rsidRDefault="0085624E">
      <w:pPr>
        <w:pStyle w:val="Textocomentario"/>
      </w:pPr>
      <w:r>
        <w:rPr>
          <w:rStyle w:val="Refdecomentario"/>
        </w:rPr>
        <w:annotationRef/>
      </w:r>
      <w:r>
        <w:t>Yes. The intended meaning has been retained</w:t>
      </w:r>
    </w:p>
  </w:comment>
  <w:comment w:id="51" w:author="MDPI" w:date="2023-03-17T16:25:00Z" w:initials="M">
    <w:p w14:paraId="34555906" w14:textId="77777777" w:rsidR="0085624E" w:rsidRPr="000105F2" w:rsidRDefault="0085624E" w:rsidP="000315FA">
      <w:pPr>
        <w:pStyle w:val="Textocomentario"/>
        <w:jc w:val="left"/>
        <w:rPr>
          <w:highlight w:val="yellow"/>
        </w:rPr>
      </w:pPr>
      <w:r>
        <w:rPr>
          <w:rStyle w:val="Refdecomentario"/>
        </w:rPr>
        <w:annotationRef/>
      </w:r>
      <w:r w:rsidRPr="000105F2">
        <w:rPr>
          <w:highlight w:val="yellow"/>
        </w:rPr>
        <w:t xml:space="preserve">Ref [31] is missing, please revise. </w:t>
      </w:r>
    </w:p>
    <w:p w14:paraId="49451970" w14:textId="77777777" w:rsidR="0085624E" w:rsidRDefault="0085624E" w:rsidP="000315FA">
      <w:pPr>
        <w:pStyle w:val="Textocomentario"/>
        <w:jc w:val="left"/>
      </w:pPr>
      <w:r w:rsidRPr="000105F2">
        <w:rPr>
          <w:highlight w:val="yellow"/>
        </w:rPr>
        <w:t>Reference (32) has been cited after (30).</w:t>
      </w:r>
      <w:r>
        <w:t xml:space="preserve"> References must be cited in order, please go over the entire manuscript and revise accordingly.</w:t>
      </w:r>
    </w:p>
  </w:comment>
  <w:comment w:id="52" w:author="Usuario de Microsoft Office" w:date="2023-03-18T19:52:00Z" w:initials="Office">
    <w:p w14:paraId="7AEDCADB" w14:textId="77777777" w:rsidR="00EC0154" w:rsidRDefault="00EC0154">
      <w:pPr>
        <w:pStyle w:val="Textocomentario"/>
      </w:pPr>
      <w:r>
        <w:rPr>
          <w:rStyle w:val="Refdecomentario"/>
        </w:rPr>
        <w:annotationRef/>
      </w:r>
      <w:r>
        <w:t xml:space="preserve">The mistake has been corrected  </w:t>
      </w:r>
    </w:p>
  </w:comment>
  <w:comment w:id="53" w:author="MM" w:date="2023-03-17T12:13:00Z" w:initials="MM">
    <w:p w14:paraId="0F8C265A" w14:textId="77777777" w:rsidR="0085624E" w:rsidRDefault="0085624E">
      <w:pPr>
        <w:pStyle w:val="Textocomentario"/>
      </w:pPr>
      <w:r>
        <w:rPr>
          <w:rStyle w:val="Refdecomentario"/>
        </w:rPr>
        <w:annotationRef/>
      </w:r>
      <w:r>
        <w:t>Please check that intended meaning has been retained.</w:t>
      </w:r>
    </w:p>
  </w:comment>
  <w:comment w:id="54" w:author="Usuario de Microsoft Office" w:date="2023-03-18T11:31:00Z" w:initials="Office">
    <w:p w14:paraId="0EA808AA" w14:textId="77777777" w:rsidR="0085624E" w:rsidRDefault="0085624E">
      <w:pPr>
        <w:pStyle w:val="Textocomentario"/>
      </w:pPr>
      <w:r>
        <w:rPr>
          <w:rStyle w:val="Refdecomentario"/>
        </w:rPr>
        <w:annotationRef/>
      </w:r>
      <w:r>
        <w:t>The intended meaning has been retained</w:t>
      </w:r>
    </w:p>
  </w:comment>
  <w:comment w:id="55" w:author="Tijana Milikic" w:date="2023-03-17T15:42:00Z" w:initials="TM">
    <w:p w14:paraId="5F611D8D" w14:textId="77777777" w:rsidR="0085624E" w:rsidRDefault="0085624E">
      <w:pPr>
        <w:pStyle w:val="Textocomentario"/>
      </w:pPr>
      <w:r>
        <w:rPr>
          <w:rStyle w:val="Refdecomentario"/>
        </w:rPr>
        <w:annotationRef/>
      </w:r>
      <w:r>
        <w:t>We removed this text: “</w:t>
      </w:r>
      <w:r w:rsidRPr="004825BB">
        <w:rPr>
          <w:highlight w:val="yellow"/>
        </w:rPr>
        <w:t xml:space="preserve">All named authors meet the International Committee of Medical Journal Editors (ICMJE) criteria for authorship </w:t>
      </w:r>
      <w:r>
        <w:rPr>
          <w:highlight w:val="yellow"/>
        </w:rPr>
        <w:t>of</w:t>
      </w:r>
      <w:r w:rsidRPr="004825BB">
        <w:rPr>
          <w:highlight w:val="yellow"/>
        </w:rPr>
        <w:t xml:space="preserve"> this article, take responsibility for the integrity of the work, and have given their approval for the final draft</w:t>
      </w:r>
      <w:r>
        <w:t>”, it's not part of the Author Contributions. Please confirm.</w:t>
      </w:r>
    </w:p>
    <w:p w14:paraId="2BB7821D" w14:textId="77777777" w:rsidR="0085624E" w:rsidRDefault="0085624E" w:rsidP="00D3558B">
      <w:pPr>
        <w:pStyle w:val="Textocomentario"/>
        <w:spacing w:before="240" w:after="120"/>
      </w:pPr>
      <w:bookmarkStart w:id="57" w:name="_Hlk122080145"/>
      <w:r w:rsidRPr="005319AE">
        <w:rPr>
          <w:highlight w:val="yellow"/>
        </w:rPr>
        <w:t xml:space="preserve">Please check this section. Are all </w:t>
      </w:r>
      <w:r w:rsidRPr="005319AE">
        <w:rPr>
          <w:highlight w:val="yellow"/>
        </w:rPr>
        <w:t>informations correct? If yes, please confirm.</w:t>
      </w:r>
    </w:p>
    <w:bookmarkEnd w:id="57"/>
    <w:p w14:paraId="3A076ED9" w14:textId="77777777" w:rsidR="0085624E" w:rsidRDefault="0085624E">
      <w:pPr>
        <w:pStyle w:val="Textocomentario"/>
      </w:pPr>
    </w:p>
  </w:comment>
  <w:comment w:id="56" w:author="Usuario de Microsoft Office" w:date="2023-03-18T11:34:00Z" w:initials="Office">
    <w:p w14:paraId="4A344C47" w14:textId="77777777" w:rsidR="0085624E" w:rsidRPr="00A75745" w:rsidRDefault="0085624E" w:rsidP="00642933">
      <w:pPr>
        <w:pStyle w:val="Textocomentario"/>
        <w:jc w:val="left"/>
        <w:rPr>
          <w:rFonts w:asciiTheme="minorHAnsi" w:eastAsiaTheme="minorHAnsi" w:hAnsiTheme="minorHAnsi" w:cstheme="minorBidi"/>
          <w:color w:val="auto"/>
          <w:sz w:val="24"/>
          <w:szCs w:val="24"/>
          <w:lang w:eastAsia="en-US"/>
        </w:rPr>
      </w:pPr>
      <w:r>
        <w:rPr>
          <w:rStyle w:val="Refdecomentario"/>
        </w:rPr>
        <w:annotationRef/>
      </w:r>
      <w:r>
        <w:t>Yes. The information is correct</w:t>
      </w:r>
    </w:p>
    <w:p w14:paraId="535F2AA4" w14:textId="77777777" w:rsidR="0085624E" w:rsidRDefault="0085624E">
      <w:pPr>
        <w:pStyle w:val="Textocomentario"/>
      </w:pPr>
    </w:p>
  </w:comment>
  <w:comment w:id="58" w:author="MDPI" w:date="2023-03-17T11:02:00Z" w:initials="M">
    <w:p w14:paraId="04F3B02C" w14:textId="77777777" w:rsidR="0085624E" w:rsidRDefault="0085624E">
      <w:pPr>
        <w:pStyle w:val="Textocomentario"/>
      </w:pPr>
      <w:r>
        <w:rPr>
          <w:rStyle w:val="Refdecomentario"/>
        </w:rPr>
        <w:annotationRef/>
      </w:r>
      <w:r>
        <w:t>Information regarding the funder and the funding number should be provided. Please check the accuracy of funding data and any other information carefully.</w:t>
      </w:r>
    </w:p>
  </w:comment>
  <w:comment w:id="59" w:author="Usuario de Microsoft Office" w:date="2023-03-18T11:35:00Z" w:initials="Office">
    <w:p w14:paraId="13BA2C41" w14:textId="77777777" w:rsidR="0085624E" w:rsidRDefault="0085624E">
      <w:pPr>
        <w:pStyle w:val="Textocomentario"/>
      </w:pPr>
      <w:r>
        <w:rPr>
          <w:rStyle w:val="Refdecomentario"/>
        </w:rPr>
        <w:annotationRef/>
      </w:r>
      <w:r w:rsidRPr="00642933">
        <w:t>The information is correct</w:t>
      </w:r>
    </w:p>
  </w:comment>
  <w:comment w:id="62" w:author="MDPI" w:date="2023-03-17T11:02:00Z" w:initials="M">
    <w:p w14:paraId="684069CA" w14:textId="77777777" w:rsidR="0085624E" w:rsidRDefault="0085624E" w:rsidP="000315FA">
      <w:pPr>
        <w:pStyle w:val="Textocomentario"/>
        <w:jc w:val="left"/>
      </w:pPr>
      <w:r>
        <w:rPr>
          <w:rStyle w:val="Refdecomentario"/>
        </w:rPr>
        <w:annotationRef/>
      </w:r>
      <w:r>
        <w:t>We removed contents of this part (which is template words). Please add correct Acknowledgments or remove this part if unnecessary.</w:t>
      </w:r>
    </w:p>
  </w:comment>
  <w:comment w:id="63" w:author="Usuario de Microsoft Office" w:date="2023-03-18T11:36:00Z" w:initials="Office">
    <w:p w14:paraId="0A2762B9" w14:textId="77777777" w:rsidR="0085624E" w:rsidRDefault="0085624E">
      <w:pPr>
        <w:pStyle w:val="Textocomentario"/>
      </w:pPr>
      <w:r>
        <w:rPr>
          <w:rStyle w:val="Refdecomentario"/>
        </w:rPr>
        <w:annotationRef/>
      </w:r>
      <w:r>
        <w:t>This part can be removed</w:t>
      </w:r>
    </w:p>
  </w:comment>
  <w:comment w:id="64" w:author="Tijana Milikic" w:date="2023-03-17T15:20:00Z" w:initials="TM">
    <w:p w14:paraId="2402FBBF" w14:textId="77777777" w:rsidR="0085624E" w:rsidRDefault="0085624E" w:rsidP="00DC0E6D">
      <w:pPr>
        <w:pStyle w:val="Textocomentario"/>
        <w:numPr>
          <w:ilvl w:val="0"/>
          <w:numId w:val="32"/>
        </w:numPr>
        <w:rPr>
          <w:color w:val="auto"/>
        </w:rPr>
      </w:pPr>
      <w:r>
        <w:rPr>
          <w:rStyle w:val="Refdecomentario"/>
        </w:rPr>
        <w:annotationRef/>
      </w:r>
      <w:bookmarkStart w:id="66" w:name="_Hlk66869575"/>
      <w:r>
        <w:rPr>
          <w:color w:val="auto"/>
        </w:rPr>
        <w:t xml:space="preserve">References have been checked and </w:t>
      </w:r>
      <w:r>
        <w:rPr>
          <w:color w:val="auto"/>
        </w:rPr>
        <w:t xml:space="preserve">layouted accordingly. Please, go over the entire manuscript and check whether </w:t>
      </w:r>
      <w:r>
        <w:rPr>
          <w:color w:val="auto"/>
        </w:rPr>
        <w:t>all of the references are cited and listed correctly and in order.</w:t>
      </w:r>
    </w:p>
    <w:p w14:paraId="21808C21" w14:textId="77777777" w:rsidR="0085624E" w:rsidRPr="002B622F" w:rsidRDefault="0085624E" w:rsidP="00DC0E6D">
      <w:pPr>
        <w:pStyle w:val="Textocomentario"/>
        <w:numPr>
          <w:ilvl w:val="0"/>
          <w:numId w:val="32"/>
        </w:numPr>
        <w:rPr>
          <w:color w:val="auto"/>
        </w:rPr>
      </w:pPr>
      <w:bookmarkStart w:id="67" w:name="_Hlk73003663"/>
      <w:r w:rsidRPr="000C7455">
        <w:t xml:space="preserve">Please, </w:t>
      </w:r>
      <w:r w:rsidRPr="0034331E">
        <w:rPr>
          <w:b/>
          <w:bCs/>
        </w:rPr>
        <w:t>DO NOT</w:t>
      </w:r>
      <w:r w:rsidRPr="000C7455">
        <w:t xml:space="preserve"> change reference layout. </w:t>
      </w:r>
      <w:r w:rsidRPr="0068659B">
        <w:t xml:space="preserve">May you need to do any changes in the references, please, </w:t>
      </w:r>
      <w:r w:rsidRPr="0068659B">
        <w:rPr>
          <w:b/>
          <w:bCs/>
          <w:u w:val="single"/>
        </w:rPr>
        <w:t>write a comment</w:t>
      </w:r>
      <w:r w:rsidRPr="0068659B">
        <w:rPr>
          <w:u w:val="single"/>
        </w:rPr>
        <w:t xml:space="preserve"> </w:t>
      </w:r>
      <w:r w:rsidRPr="0068659B">
        <w:t>as the reference list has undergone thorough layout editing.</w:t>
      </w:r>
    </w:p>
    <w:p w14:paraId="5B8C9B3D" w14:textId="77777777" w:rsidR="0085624E" w:rsidRPr="00540019" w:rsidRDefault="0085624E" w:rsidP="00DC0E6D">
      <w:pPr>
        <w:pStyle w:val="Textocomentario"/>
        <w:spacing w:before="240" w:after="120"/>
      </w:pPr>
      <w:r w:rsidRPr="00540019">
        <w:t xml:space="preserve">Please </w:t>
      </w:r>
      <w:r w:rsidRPr="0034331E">
        <w:rPr>
          <w:b/>
          <w:bCs/>
        </w:rPr>
        <w:t>NEVER</w:t>
      </w:r>
      <w:r w:rsidRPr="00540019">
        <w:t xml:space="preserve"> use EndNote or other tools to re-arrange the reference order.</w:t>
      </w:r>
    </w:p>
    <w:bookmarkEnd w:id="66"/>
    <w:bookmarkEnd w:id="67"/>
    <w:p w14:paraId="3C2C576A" w14:textId="77777777" w:rsidR="0085624E" w:rsidRDefault="0085624E">
      <w:pPr>
        <w:pStyle w:val="Textocomentario"/>
      </w:pPr>
    </w:p>
  </w:comment>
  <w:comment w:id="65" w:author="Usuario de Microsoft Office" w:date="2023-03-18T20:24:00Z" w:initials="Office">
    <w:p w14:paraId="0C2258B3" w14:textId="77777777" w:rsidR="008D18A2" w:rsidRPr="00172898" w:rsidRDefault="008D18A2" w:rsidP="008D18A2">
      <w:r>
        <w:rPr>
          <w:rStyle w:val="Refdecomentario"/>
        </w:rPr>
        <w:annotationRef/>
      </w:r>
      <w:r w:rsidRPr="008D18A2">
        <w:t xml:space="preserve">The references have been reviewed over the </w:t>
      </w:r>
      <w:r w:rsidR="00172898">
        <w:t xml:space="preserve">entire </w:t>
      </w:r>
      <w:r w:rsidRPr="008D18A2">
        <w:t>manuscript</w:t>
      </w:r>
      <w:r w:rsidR="00172898">
        <w:t xml:space="preserve">: </w:t>
      </w:r>
      <w:r w:rsidRPr="008D18A2">
        <w:t>There was a mistake in page 2, line 8 of this page. Instead of [3,6], the correct references are [3,5]</w:t>
      </w:r>
      <w:r w:rsidR="00172898">
        <w:t xml:space="preserve">. </w:t>
      </w:r>
      <w:r w:rsidRPr="008D18A2">
        <w:t>In page 3, after “Analogue Scale (EQ VAS), was used”, the correct reference is [19]</w:t>
      </w:r>
    </w:p>
    <w:p w14:paraId="1CB180AE" w14:textId="77777777" w:rsidR="008D18A2" w:rsidRDefault="008D18A2">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854BF0" w15:done="0"/>
  <w15:commentEx w15:paraId="173088A4" w15:paraIdParent="55854BF0" w15:done="0"/>
  <w15:commentEx w15:paraId="75BF2A19" w15:done="0"/>
  <w15:commentEx w15:paraId="6DA40D56" w15:paraIdParent="75BF2A19" w15:done="0"/>
  <w15:commentEx w15:paraId="579E3F78" w15:done="0"/>
  <w15:commentEx w15:paraId="6CF48A60" w15:paraIdParent="579E3F78" w15:done="0"/>
  <w15:commentEx w15:paraId="6CF5CA0A" w15:done="0"/>
  <w15:commentEx w15:paraId="230F47C0" w15:paraIdParent="6CF5CA0A" w15:done="0"/>
  <w15:commentEx w15:paraId="4C608368" w15:done="0"/>
  <w15:commentEx w15:paraId="5D228492" w15:paraIdParent="4C608368" w15:done="0"/>
  <w15:commentEx w15:paraId="2D9E0D4A" w15:done="0"/>
  <w15:commentEx w15:paraId="2370A7ED" w15:done="0"/>
  <w15:commentEx w15:paraId="587D3B10" w15:paraIdParent="2370A7ED" w15:done="0"/>
  <w15:commentEx w15:paraId="33E6F2FC" w15:done="0"/>
  <w15:commentEx w15:paraId="3C18CEEB" w15:paraIdParent="33E6F2FC" w15:done="0"/>
  <w15:commentEx w15:paraId="3E0476C1" w15:done="0"/>
  <w15:commentEx w15:paraId="177DD72E" w15:paraIdParent="3E0476C1" w15:done="0"/>
  <w15:commentEx w15:paraId="4C4C8F59" w15:done="0"/>
  <w15:commentEx w15:paraId="69D5CA31" w15:paraIdParent="4C4C8F59" w15:done="0"/>
  <w15:commentEx w15:paraId="30241CE1" w15:done="0"/>
  <w15:commentEx w15:paraId="7474AB84" w15:done="0"/>
  <w15:commentEx w15:paraId="7A95FA80" w15:done="0"/>
  <w15:commentEx w15:paraId="2DA78808" w15:paraIdParent="7A95FA80" w15:done="0"/>
  <w15:commentEx w15:paraId="66B7EE7E" w15:done="0"/>
  <w15:commentEx w15:paraId="39454A7D" w15:done="0"/>
  <w15:commentEx w15:paraId="32477AC6" w15:done="0"/>
  <w15:commentEx w15:paraId="7B3DBDD7" w15:done="0"/>
  <w15:commentEx w15:paraId="0AA8DEFD" w15:done="0"/>
  <w15:commentEx w15:paraId="6955BD31" w15:paraIdParent="0AA8DEFD" w15:done="0"/>
  <w15:commentEx w15:paraId="0B7F4962" w15:done="0"/>
  <w15:commentEx w15:paraId="2D2EF44B" w15:done="0"/>
  <w15:commentEx w15:paraId="7D5EA3DB" w15:done="0"/>
  <w15:commentEx w15:paraId="32C0F4C2" w15:done="0"/>
  <w15:commentEx w15:paraId="2F7A750B" w15:done="0"/>
  <w15:commentEx w15:paraId="07E8F42D" w15:done="0"/>
  <w15:commentEx w15:paraId="0EEC1946" w15:done="0"/>
  <w15:commentEx w15:paraId="12924B61" w15:done="0"/>
  <w15:commentEx w15:paraId="11627D84" w15:done="0"/>
  <w15:commentEx w15:paraId="0A75EA0D" w15:done="0"/>
  <w15:commentEx w15:paraId="68A0B7EE" w15:done="0"/>
  <w15:commentEx w15:paraId="0AF620F6" w15:done="0"/>
  <w15:commentEx w15:paraId="1F5B2741" w15:done="0"/>
  <w15:commentEx w15:paraId="06FDB0B3" w15:done="0"/>
  <w15:commentEx w15:paraId="4D706C76" w15:done="0"/>
  <w15:commentEx w15:paraId="6CFDD5DD" w15:done="0"/>
  <w15:commentEx w15:paraId="610267CF" w15:done="0"/>
  <w15:commentEx w15:paraId="49451970" w15:done="0"/>
  <w15:commentEx w15:paraId="7AEDCADB" w15:done="0"/>
  <w15:commentEx w15:paraId="0F8C265A" w15:done="0"/>
  <w15:commentEx w15:paraId="0EA808AA" w15:done="0"/>
  <w15:commentEx w15:paraId="3A076ED9" w15:done="0"/>
  <w15:commentEx w15:paraId="535F2AA4" w15:done="0"/>
  <w15:commentEx w15:paraId="04F3B02C" w15:done="0"/>
  <w15:commentEx w15:paraId="13BA2C41" w15:done="0"/>
  <w15:commentEx w15:paraId="684069CA" w15:done="0"/>
  <w15:commentEx w15:paraId="0A2762B9" w15:done="0"/>
  <w15:commentEx w15:paraId="3C2C576A" w15:done="0"/>
  <w15:commentEx w15:paraId="1CB180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16830" w16cex:dateUtc="2023-03-19T09:53:00Z"/>
  <w16cex:commentExtensible w16cex:durableId="27C169D4" w16cex:dateUtc="2023-03-19T10:00:00Z"/>
  <w16cex:commentExtensible w16cex:durableId="27C169FB" w16cex:dateUtc="2023-03-19T10:01:00Z"/>
  <w16cex:commentExtensible w16cex:durableId="27C16A21" w16cex:dateUtc="2023-03-19T10:01:00Z"/>
  <w16cex:commentExtensible w16cex:durableId="27C16A4F" w16cex:dateUtc="2023-03-19T10:02:00Z"/>
  <w16cex:commentExtensible w16cex:durableId="27C16A81" w16cex:dateUtc="2023-03-19T10:03:00Z"/>
  <w16cex:commentExtensible w16cex:durableId="27C16AE7" w16cex:dateUtc="2023-03-19T10:05:00Z"/>
  <w16cex:commentExtensible w16cex:durableId="27C16B01" w16cex:dateUtc="2023-03-19T10:05:00Z"/>
  <w16cex:commentExtensible w16cex:durableId="27C16B1D" w16cex:dateUtc="2023-03-19T10:06:00Z"/>
  <w16cex:commentExtensible w16cex:durableId="27C16B8B" w16cex:dateUtc="2023-03-19T10:07:00Z"/>
  <w16cex:commentExtensible w16cex:durableId="27C16BC3" w16cex:dateUtc="2023-03-19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854BF0" w16cid:durableId="27C167F6"/>
  <w16cid:commentId w16cid:paraId="173088A4" w16cid:durableId="27C16830"/>
  <w16cid:commentId w16cid:paraId="75BF2A19" w16cid:durableId="27C167F7"/>
  <w16cid:commentId w16cid:paraId="6DA40D56" w16cid:durableId="27C169D4"/>
  <w16cid:commentId w16cid:paraId="579E3F78" w16cid:durableId="27C167F9"/>
  <w16cid:commentId w16cid:paraId="6CF48A60" w16cid:durableId="27C169FB"/>
  <w16cid:commentId w16cid:paraId="6CF5CA0A" w16cid:durableId="27C167FA"/>
  <w16cid:commentId w16cid:paraId="230F47C0" w16cid:durableId="27C16A21"/>
  <w16cid:commentId w16cid:paraId="4C608368" w16cid:durableId="27C167FB"/>
  <w16cid:commentId w16cid:paraId="5D228492" w16cid:durableId="27C16A4F"/>
  <w16cid:commentId w16cid:paraId="2D9E0D4A" w16cid:durableId="27C167FC"/>
  <w16cid:commentId w16cid:paraId="2370A7ED" w16cid:durableId="27C167FD"/>
  <w16cid:commentId w16cid:paraId="587D3B10" w16cid:durableId="27C16A81"/>
  <w16cid:commentId w16cid:paraId="33E6F2FC" w16cid:durableId="27C167FE"/>
  <w16cid:commentId w16cid:paraId="3C18CEEB" w16cid:durableId="27C16AE7"/>
  <w16cid:commentId w16cid:paraId="3E0476C1" w16cid:durableId="27C167FF"/>
  <w16cid:commentId w16cid:paraId="177DD72E" w16cid:durableId="27C16B01"/>
  <w16cid:commentId w16cid:paraId="4C4C8F59" w16cid:durableId="27C16800"/>
  <w16cid:commentId w16cid:paraId="69D5CA31" w16cid:durableId="27C16B1D"/>
  <w16cid:commentId w16cid:paraId="30241CE1" w16cid:durableId="27C16801"/>
  <w16cid:commentId w16cid:paraId="7474AB84" w16cid:durableId="27C16802"/>
  <w16cid:commentId w16cid:paraId="7A95FA80" w16cid:durableId="27C16803"/>
  <w16cid:commentId w16cid:paraId="2DA78808" w16cid:durableId="27C16B8B"/>
  <w16cid:commentId w16cid:paraId="66B7EE7E" w16cid:durableId="27C16804"/>
  <w16cid:commentId w16cid:paraId="39454A7D" w16cid:durableId="27C16805"/>
  <w16cid:commentId w16cid:paraId="32477AC6" w16cid:durableId="27C16806"/>
  <w16cid:commentId w16cid:paraId="7B3DBDD7" w16cid:durableId="27C16807"/>
  <w16cid:commentId w16cid:paraId="0AA8DEFD" w16cid:durableId="27C16808"/>
  <w16cid:commentId w16cid:paraId="6955BD31" w16cid:durableId="27C16BC3"/>
  <w16cid:commentId w16cid:paraId="0B7F4962" w16cid:durableId="27C16809"/>
  <w16cid:commentId w16cid:paraId="2D2EF44B" w16cid:durableId="27C1680A"/>
  <w16cid:commentId w16cid:paraId="7D5EA3DB" w16cid:durableId="27C1680B"/>
  <w16cid:commentId w16cid:paraId="32C0F4C2" w16cid:durableId="27C1680C"/>
  <w16cid:commentId w16cid:paraId="2F7A750B" w16cid:durableId="27C1680D"/>
  <w16cid:commentId w16cid:paraId="07E8F42D" w16cid:durableId="27C1680E"/>
  <w16cid:commentId w16cid:paraId="0EEC1946" w16cid:durableId="27C1680F"/>
  <w16cid:commentId w16cid:paraId="12924B61" w16cid:durableId="27C16810"/>
  <w16cid:commentId w16cid:paraId="11627D84" w16cid:durableId="27C16811"/>
  <w16cid:commentId w16cid:paraId="0A75EA0D" w16cid:durableId="27C16812"/>
  <w16cid:commentId w16cid:paraId="68A0B7EE" w16cid:durableId="27C16813"/>
  <w16cid:commentId w16cid:paraId="0AF620F6" w16cid:durableId="27C16814"/>
  <w16cid:commentId w16cid:paraId="1F5B2741" w16cid:durableId="27C16815"/>
  <w16cid:commentId w16cid:paraId="06FDB0B3" w16cid:durableId="27C16816"/>
  <w16cid:commentId w16cid:paraId="4D706C76" w16cid:durableId="27C16817"/>
  <w16cid:commentId w16cid:paraId="6CFDD5DD" w16cid:durableId="27C16818"/>
  <w16cid:commentId w16cid:paraId="610267CF" w16cid:durableId="27C16819"/>
  <w16cid:commentId w16cid:paraId="49451970" w16cid:durableId="27C1681A"/>
  <w16cid:commentId w16cid:paraId="7AEDCADB" w16cid:durableId="27C1681B"/>
  <w16cid:commentId w16cid:paraId="0F8C265A" w16cid:durableId="27C1681C"/>
  <w16cid:commentId w16cid:paraId="0EA808AA" w16cid:durableId="27C1681D"/>
  <w16cid:commentId w16cid:paraId="3A076ED9" w16cid:durableId="27C1681E"/>
  <w16cid:commentId w16cid:paraId="535F2AA4" w16cid:durableId="27C1681F"/>
  <w16cid:commentId w16cid:paraId="04F3B02C" w16cid:durableId="27C16820"/>
  <w16cid:commentId w16cid:paraId="13BA2C41" w16cid:durableId="27C16821"/>
  <w16cid:commentId w16cid:paraId="684069CA" w16cid:durableId="27C16822"/>
  <w16cid:commentId w16cid:paraId="0A2762B9" w16cid:durableId="27C16823"/>
  <w16cid:commentId w16cid:paraId="3C2C576A" w16cid:durableId="27C16824"/>
  <w16cid:commentId w16cid:paraId="1CB180AE" w16cid:durableId="27C168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58862" w14:textId="77777777" w:rsidR="009D2857" w:rsidRDefault="009D2857">
      <w:pPr>
        <w:spacing w:line="240" w:lineRule="auto"/>
      </w:pPr>
      <w:r>
        <w:separator/>
      </w:r>
    </w:p>
  </w:endnote>
  <w:endnote w:type="continuationSeparator" w:id="0">
    <w:p w14:paraId="57A6B137" w14:textId="77777777" w:rsidR="009D2857" w:rsidRDefault="009D2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C2D0" w14:textId="77777777" w:rsidR="0085624E" w:rsidRPr="00032917" w:rsidRDefault="0085624E" w:rsidP="00357C8D">
    <w:pPr>
      <w:pStyle w:val="Piedepgina"/>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A4A4" w14:textId="77777777" w:rsidR="0085624E" w:rsidRDefault="0085624E" w:rsidP="00065CFE">
    <w:pPr>
      <w:pStyle w:val="MDPIfooterfirstpage"/>
      <w:pBdr>
        <w:top w:val="single" w:sz="4" w:space="0" w:color="000000"/>
      </w:pBdr>
      <w:adjustRightInd w:val="0"/>
      <w:snapToGrid w:val="0"/>
      <w:spacing w:before="480" w:line="100" w:lineRule="exact"/>
      <w:rPr>
        <w:i/>
        <w:szCs w:val="16"/>
      </w:rPr>
    </w:pPr>
  </w:p>
  <w:p w14:paraId="4604DA88" w14:textId="77777777" w:rsidR="0085624E" w:rsidRPr="008B308E" w:rsidRDefault="0085624E" w:rsidP="00770821">
    <w:pPr>
      <w:pStyle w:val="MDPIfooterfirstpage"/>
      <w:tabs>
        <w:tab w:val="clear" w:pos="8845"/>
        <w:tab w:val="right" w:pos="10466"/>
      </w:tabs>
      <w:spacing w:line="240" w:lineRule="auto"/>
      <w:jc w:val="both"/>
      <w:rPr>
        <w:lang w:val="fr-CH"/>
      </w:rPr>
    </w:pPr>
    <w:r w:rsidRPr="00BB0268">
      <w:rPr>
        <w:i/>
        <w:szCs w:val="16"/>
      </w:rPr>
      <w:t>J. Clin. Med.</w:t>
    </w:r>
    <w:r w:rsidRPr="00BB0268">
      <w:rPr>
        <w:szCs w:val="16"/>
      </w:rPr>
      <w:t xml:space="preserve"> </w:t>
    </w:r>
    <w:r>
      <w:rPr>
        <w:b/>
        <w:szCs w:val="16"/>
      </w:rPr>
      <w:t>2023</w:t>
    </w:r>
    <w:r w:rsidRPr="00853B85">
      <w:rPr>
        <w:szCs w:val="16"/>
      </w:rPr>
      <w:t>,</w:t>
    </w:r>
    <w:r>
      <w:rPr>
        <w:i/>
        <w:szCs w:val="16"/>
      </w:rPr>
      <w:t xml:space="preserve"> 12</w:t>
    </w:r>
    <w:r w:rsidRPr="00853B85">
      <w:rPr>
        <w:szCs w:val="16"/>
      </w:rPr>
      <w:t xml:space="preserve">, </w:t>
    </w:r>
    <w:r>
      <w:rPr>
        <w:szCs w:val="16"/>
      </w:rPr>
      <w:t>x. https://doi.org/10.3390/xxxxx</w:t>
    </w:r>
    <w:r w:rsidRPr="008B308E">
      <w:rPr>
        <w:lang w:val="fr-CH"/>
      </w:rPr>
      <w:tab/>
      <w:t>www.mdpi.com/journal/</w:t>
    </w:r>
    <w:proofErr w:type="spellStart"/>
    <w:r>
      <w:t>jcm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96F8D" w14:textId="77777777" w:rsidR="009D2857" w:rsidRDefault="009D2857">
      <w:pPr>
        <w:spacing w:line="240" w:lineRule="auto"/>
      </w:pPr>
      <w:r>
        <w:separator/>
      </w:r>
    </w:p>
  </w:footnote>
  <w:footnote w:type="continuationSeparator" w:id="0">
    <w:p w14:paraId="13BD7391" w14:textId="77777777" w:rsidR="009D2857" w:rsidRDefault="009D28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B5EC" w14:textId="77777777" w:rsidR="0085624E" w:rsidRDefault="0085624E" w:rsidP="00357C8D">
    <w:pPr>
      <w:pStyle w:val="Encabezad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FFAC" w14:textId="77777777" w:rsidR="0085624E" w:rsidRDefault="0085624E" w:rsidP="00770821">
    <w:pPr>
      <w:tabs>
        <w:tab w:val="right" w:pos="10466"/>
      </w:tabs>
      <w:adjustRightInd w:val="0"/>
      <w:snapToGrid w:val="0"/>
      <w:spacing w:line="240" w:lineRule="auto"/>
      <w:rPr>
        <w:sz w:val="16"/>
      </w:rPr>
    </w:pPr>
    <w:r>
      <w:rPr>
        <w:i/>
        <w:sz w:val="16"/>
      </w:rPr>
      <w:t xml:space="preserve">J. Clin. Med. </w:t>
    </w:r>
    <w:r>
      <w:rPr>
        <w:b/>
        <w:sz w:val="16"/>
      </w:rPr>
      <w:t>2023</w:t>
    </w:r>
    <w:r w:rsidRPr="00853B85">
      <w:rPr>
        <w:sz w:val="16"/>
      </w:rPr>
      <w:t>,</w:t>
    </w:r>
    <w:r>
      <w:rPr>
        <w:i/>
        <w:sz w:val="16"/>
      </w:rPr>
      <w:t xml:space="preserve"> 12</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sidR="00BC02BE">
      <w:rPr>
        <w:noProof/>
        <w:sz w:val="16"/>
      </w:rPr>
      <w:t>12</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BC02BE">
      <w:rPr>
        <w:noProof/>
        <w:sz w:val="16"/>
      </w:rPr>
      <w:t>15</w:t>
    </w:r>
    <w:r>
      <w:rPr>
        <w:sz w:val="16"/>
      </w:rPr>
      <w:fldChar w:fldCharType="end"/>
    </w:r>
  </w:p>
  <w:p w14:paraId="73834186" w14:textId="77777777" w:rsidR="0085624E" w:rsidRPr="007A5CE1" w:rsidRDefault="0085624E" w:rsidP="00065CF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85624E" w:rsidRPr="00770821" w14:paraId="57E84047" w14:textId="77777777" w:rsidTr="00D235B1">
      <w:trPr>
        <w:trHeight w:val="686"/>
      </w:trPr>
      <w:tc>
        <w:tcPr>
          <w:tcW w:w="3679" w:type="dxa"/>
          <w:shd w:val="clear" w:color="auto" w:fill="auto"/>
          <w:vAlign w:val="center"/>
        </w:tcPr>
        <w:p w14:paraId="57ED4D89" w14:textId="77777777" w:rsidR="0085624E" w:rsidRPr="00904B95" w:rsidRDefault="0085624E" w:rsidP="00770821">
          <w:pPr>
            <w:pStyle w:val="Encabezado"/>
            <w:pBdr>
              <w:bottom w:val="none" w:sz="0" w:space="0" w:color="auto"/>
            </w:pBdr>
            <w:jc w:val="left"/>
            <w:rPr>
              <w:rFonts w:eastAsia="DengXian"/>
              <w:b/>
              <w:bCs/>
            </w:rPr>
          </w:pPr>
          <w:r w:rsidRPr="00904B95">
            <w:rPr>
              <w:rFonts w:eastAsia="DengXian"/>
              <w:b/>
              <w:bCs/>
              <w:noProof/>
              <w:lang w:val="es-ES_tradnl" w:eastAsia="es-ES_tradnl"/>
            </w:rPr>
            <w:drawing>
              <wp:inline distT="0" distB="0" distL="0" distR="0" wp14:anchorId="1CDC4175" wp14:editId="48C7E38B">
                <wp:extent cx="1676400" cy="429260"/>
                <wp:effectExtent l="0" t="0" r="0" b="0"/>
                <wp:docPr id="1" name="Picture 5" descr="C:\Users\home\Desktop\logos\png\jc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png\jc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29260"/>
                        </a:xfrm>
                        <a:prstGeom prst="rect">
                          <a:avLst/>
                        </a:prstGeom>
                        <a:noFill/>
                        <a:ln>
                          <a:noFill/>
                        </a:ln>
                      </pic:spPr>
                    </pic:pic>
                  </a:graphicData>
                </a:graphic>
              </wp:inline>
            </w:drawing>
          </w:r>
        </w:p>
      </w:tc>
      <w:tc>
        <w:tcPr>
          <w:tcW w:w="4535" w:type="dxa"/>
          <w:shd w:val="clear" w:color="auto" w:fill="auto"/>
          <w:vAlign w:val="center"/>
        </w:tcPr>
        <w:p w14:paraId="45C4573D" w14:textId="77777777" w:rsidR="0085624E" w:rsidRPr="00904B95" w:rsidRDefault="0085624E" w:rsidP="00770821">
          <w:pPr>
            <w:pStyle w:val="Encabezado"/>
            <w:pBdr>
              <w:bottom w:val="none" w:sz="0" w:space="0" w:color="auto"/>
            </w:pBdr>
            <w:rPr>
              <w:rFonts w:eastAsia="DengXian"/>
              <w:b/>
              <w:bCs/>
            </w:rPr>
          </w:pPr>
        </w:p>
      </w:tc>
      <w:tc>
        <w:tcPr>
          <w:tcW w:w="2273" w:type="dxa"/>
          <w:shd w:val="clear" w:color="auto" w:fill="auto"/>
          <w:vAlign w:val="center"/>
        </w:tcPr>
        <w:p w14:paraId="18538A2B" w14:textId="77777777" w:rsidR="0085624E" w:rsidRPr="00904B95" w:rsidRDefault="0085624E" w:rsidP="00D235B1">
          <w:pPr>
            <w:pStyle w:val="Encabezado"/>
            <w:pBdr>
              <w:bottom w:val="none" w:sz="0" w:space="0" w:color="auto"/>
            </w:pBdr>
            <w:jc w:val="right"/>
            <w:rPr>
              <w:rFonts w:eastAsia="DengXian"/>
              <w:b/>
              <w:bCs/>
            </w:rPr>
          </w:pPr>
          <w:r>
            <w:rPr>
              <w:rFonts w:eastAsia="DengXian"/>
              <w:b/>
              <w:bCs/>
              <w:noProof/>
              <w:lang w:val="es-ES_tradnl" w:eastAsia="es-ES_tradnl"/>
            </w:rPr>
            <w:drawing>
              <wp:inline distT="0" distB="0" distL="0" distR="0" wp14:anchorId="3771349F" wp14:editId="0CFC8B89">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03F6C787" w14:textId="77777777" w:rsidR="0085624E" w:rsidRPr="003A2C19" w:rsidRDefault="0085624E" w:rsidP="00065CF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678"/>
    <w:multiLevelType w:val="hybridMultilevel"/>
    <w:tmpl w:val="CCA2F27A"/>
    <w:lvl w:ilvl="0" w:tplc="249E04F6">
      <w:start w:val="1"/>
      <w:numFmt w:val="decimal"/>
      <w:lvlText w:val="%1."/>
      <w:lvlJc w:val="left"/>
      <w:pPr>
        <w:ind w:left="3393" w:hanging="360"/>
      </w:pPr>
      <w:rPr>
        <w:rFonts w:hint="default"/>
      </w:rPr>
    </w:lvl>
    <w:lvl w:ilvl="1" w:tplc="04090019" w:tentative="1">
      <w:start w:val="1"/>
      <w:numFmt w:val="lowerLetter"/>
      <w:lvlText w:val="%2."/>
      <w:lvlJc w:val="left"/>
      <w:pPr>
        <w:ind w:left="4113" w:hanging="360"/>
      </w:pPr>
    </w:lvl>
    <w:lvl w:ilvl="2" w:tplc="0409001B" w:tentative="1">
      <w:start w:val="1"/>
      <w:numFmt w:val="lowerRoman"/>
      <w:lvlText w:val="%3."/>
      <w:lvlJc w:val="right"/>
      <w:pPr>
        <w:ind w:left="4833" w:hanging="180"/>
      </w:pPr>
    </w:lvl>
    <w:lvl w:ilvl="3" w:tplc="0409000F" w:tentative="1">
      <w:start w:val="1"/>
      <w:numFmt w:val="decimal"/>
      <w:lvlText w:val="%4."/>
      <w:lvlJc w:val="left"/>
      <w:pPr>
        <w:ind w:left="5553" w:hanging="360"/>
      </w:pPr>
    </w:lvl>
    <w:lvl w:ilvl="4" w:tplc="04090019" w:tentative="1">
      <w:start w:val="1"/>
      <w:numFmt w:val="lowerLetter"/>
      <w:lvlText w:val="%5."/>
      <w:lvlJc w:val="left"/>
      <w:pPr>
        <w:ind w:left="6273" w:hanging="360"/>
      </w:pPr>
    </w:lvl>
    <w:lvl w:ilvl="5" w:tplc="0409001B" w:tentative="1">
      <w:start w:val="1"/>
      <w:numFmt w:val="lowerRoman"/>
      <w:lvlText w:val="%6."/>
      <w:lvlJc w:val="right"/>
      <w:pPr>
        <w:ind w:left="6993" w:hanging="180"/>
      </w:pPr>
    </w:lvl>
    <w:lvl w:ilvl="6" w:tplc="0409000F" w:tentative="1">
      <w:start w:val="1"/>
      <w:numFmt w:val="decimal"/>
      <w:lvlText w:val="%7."/>
      <w:lvlJc w:val="left"/>
      <w:pPr>
        <w:ind w:left="7713" w:hanging="360"/>
      </w:pPr>
    </w:lvl>
    <w:lvl w:ilvl="7" w:tplc="04090019" w:tentative="1">
      <w:start w:val="1"/>
      <w:numFmt w:val="lowerLetter"/>
      <w:lvlText w:val="%8."/>
      <w:lvlJc w:val="left"/>
      <w:pPr>
        <w:ind w:left="8433" w:hanging="360"/>
      </w:pPr>
    </w:lvl>
    <w:lvl w:ilvl="8" w:tplc="0409001B" w:tentative="1">
      <w:start w:val="1"/>
      <w:numFmt w:val="lowerRoman"/>
      <w:lvlText w:val="%9."/>
      <w:lvlJc w:val="right"/>
      <w:pPr>
        <w:ind w:left="9153" w:hanging="180"/>
      </w:pPr>
    </w:lvl>
  </w:abstractNum>
  <w:abstractNum w:abstractNumId="1" w15:restartNumberingAfterBreak="0">
    <w:nsid w:val="08566A66"/>
    <w:multiLevelType w:val="hybridMultilevel"/>
    <w:tmpl w:val="CEA4112E"/>
    <w:lvl w:ilvl="0" w:tplc="72162196">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 w15:restartNumberingAfterBreak="0">
    <w:nsid w:val="0B5F6105"/>
    <w:multiLevelType w:val="hybridMultilevel"/>
    <w:tmpl w:val="B6CAD60C"/>
    <w:lvl w:ilvl="0" w:tplc="26248E2C">
      <w:start w:val="1"/>
      <w:numFmt w:val="decimal"/>
      <w:lvlRestart w:val="0"/>
      <w:pStyle w:val="MDPI71FootNotes"/>
      <w:lvlText w:val="%1."/>
      <w:lvlJc w:val="left"/>
      <w:pPr>
        <w:ind w:left="425" w:hanging="425"/>
      </w:pPr>
      <w:rPr>
        <w:rFonts w:hint="default"/>
        <w:b w:val="0"/>
        <w:i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8F5"/>
    <w:multiLevelType w:val="hybridMultilevel"/>
    <w:tmpl w:val="3A7E5436"/>
    <w:lvl w:ilvl="0" w:tplc="E6EED03C">
      <w:start w:val="1"/>
      <w:numFmt w:val="decimal"/>
      <w:lvlRestart w:val="0"/>
      <w:pStyle w:val="MDPI71References"/>
      <w:lvlText w:val="%1."/>
      <w:lvlJc w:val="left"/>
      <w:pPr>
        <w:ind w:left="425" w:hanging="425"/>
      </w:pPr>
      <w:rPr>
        <w:b w:val="0"/>
        <w:i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F5D"/>
    <w:multiLevelType w:val="hybridMultilevel"/>
    <w:tmpl w:val="7012DA4A"/>
    <w:lvl w:ilvl="0" w:tplc="9840474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A135E"/>
    <w:multiLevelType w:val="hybridMultilevel"/>
    <w:tmpl w:val="C554B7C0"/>
    <w:lvl w:ilvl="0" w:tplc="CFE896BA">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D7292"/>
    <w:multiLevelType w:val="hybridMultilevel"/>
    <w:tmpl w:val="4A8434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26802"/>
    <w:multiLevelType w:val="hybridMultilevel"/>
    <w:tmpl w:val="C9E842EE"/>
    <w:lvl w:ilvl="0" w:tplc="0409000F">
      <w:start w:val="1"/>
      <w:numFmt w:val="decimal"/>
      <w:lvlText w:val="%1."/>
      <w:lvlJc w:val="left"/>
      <w:pPr>
        <w:ind w:left="3753" w:hanging="360"/>
      </w:pPr>
    </w:lvl>
    <w:lvl w:ilvl="1" w:tplc="04090019" w:tentative="1">
      <w:start w:val="1"/>
      <w:numFmt w:val="lowerLetter"/>
      <w:lvlText w:val="%2."/>
      <w:lvlJc w:val="left"/>
      <w:pPr>
        <w:ind w:left="4473" w:hanging="360"/>
      </w:pPr>
    </w:lvl>
    <w:lvl w:ilvl="2" w:tplc="0409001B" w:tentative="1">
      <w:start w:val="1"/>
      <w:numFmt w:val="lowerRoman"/>
      <w:lvlText w:val="%3."/>
      <w:lvlJc w:val="right"/>
      <w:pPr>
        <w:ind w:left="5193" w:hanging="180"/>
      </w:pPr>
    </w:lvl>
    <w:lvl w:ilvl="3" w:tplc="0409000F" w:tentative="1">
      <w:start w:val="1"/>
      <w:numFmt w:val="decimal"/>
      <w:lvlText w:val="%4."/>
      <w:lvlJc w:val="left"/>
      <w:pPr>
        <w:ind w:left="5913" w:hanging="360"/>
      </w:pPr>
    </w:lvl>
    <w:lvl w:ilvl="4" w:tplc="04090019" w:tentative="1">
      <w:start w:val="1"/>
      <w:numFmt w:val="lowerLetter"/>
      <w:lvlText w:val="%5."/>
      <w:lvlJc w:val="left"/>
      <w:pPr>
        <w:ind w:left="6633" w:hanging="360"/>
      </w:pPr>
    </w:lvl>
    <w:lvl w:ilvl="5" w:tplc="0409001B" w:tentative="1">
      <w:start w:val="1"/>
      <w:numFmt w:val="lowerRoman"/>
      <w:lvlText w:val="%6."/>
      <w:lvlJc w:val="right"/>
      <w:pPr>
        <w:ind w:left="7353" w:hanging="180"/>
      </w:pPr>
    </w:lvl>
    <w:lvl w:ilvl="6" w:tplc="0409000F" w:tentative="1">
      <w:start w:val="1"/>
      <w:numFmt w:val="decimal"/>
      <w:lvlText w:val="%7."/>
      <w:lvlJc w:val="left"/>
      <w:pPr>
        <w:ind w:left="8073" w:hanging="360"/>
      </w:pPr>
    </w:lvl>
    <w:lvl w:ilvl="7" w:tplc="04090019" w:tentative="1">
      <w:start w:val="1"/>
      <w:numFmt w:val="lowerLetter"/>
      <w:lvlText w:val="%8."/>
      <w:lvlJc w:val="left"/>
      <w:pPr>
        <w:ind w:left="8793" w:hanging="360"/>
      </w:pPr>
    </w:lvl>
    <w:lvl w:ilvl="8" w:tplc="0409001B" w:tentative="1">
      <w:start w:val="1"/>
      <w:numFmt w:val="lowerRoman"/>
      <w:lvlText w:val="%9."/>
      <w:lvlJc w:val="right"/>
      <w:pPr>
        <w:ind w:left="9513" w:hanging="180"/>
      </w:pPr>
    </w:lvl>
  </w:abstractNum>
  <w:abstractNum w:abstractNumId="11"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2" w15:restartNumberingAfterBreak="0">
    <w:nsid w:val="393567DB"/>
    <w:multiLevelType w:val="hybridMultilevel"/>
    <w:tmpl w:val="043A95D6"/>
    <w:lvl w:ilvl="0" w:tplc="6706E808">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75B53"/>
    <w:multiLevelType w:val="hybridMultilevel"/>
    <w:tmpl w:val="8CAE93B2"/>
    <w:lvl w:ilvl="0" w:tplc="870E83C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5"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0680429">
    <w:abstractNumId w:val="6"/>
  </w:num>
  <w:num w:numId="2" w16cid:durableId="913902466">
    <w:abstractNumId w:val="11"/>
  </w:num>
  <w:num w:numId="3" w16cid:durableId="1961376917">
    <w:abstractNumId w:val="5"/>
  </w:num>
  <w:num w:numId="4" w16cid:durableId="8750010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0283595">
    <w:abstractNumId w:val="7"/>
  </w:num>
  <w:num w:numId="6" w16cid:durableId="947270879">
    <w:abstractNumId w:val="14"/>
  </w:num>
  <w:num w:numId="7" w16cid:durableId="1319920049">
    <w:abstractNumId w:val="4"/>
  </w:num>
  <w:num w:numId="8" w16cid:durableId="339044653">
    <w:abstractNumId w:val="14"/>
  </w:num>
  <w:num w:numId="9" w16cid:durableId="1720935654">
    <w:abstractNumId w:val="4"/>
  </w:num>
  <w:num w:numId="10" w16cid:durableId="1931352796">
    <w:abstractNumId w:val="14"/>
  </w:num>
  <w:num w:numId="11" w16cid:durableId="1157383718">
    <w:abstractNumId w:val="4"/>
  </w:num>
  <w:num w:numId="12" w16cid:durableId="427047344">
    <w:abstractNumId w:val="15"/>
  </w:num>
  <w:num w:numId="13" w16cid:durableId="102574100">
    <w:abstractNumId w:val="14"/>
  </w:num>
  <w:num w:numId="14" w16cid:durableId="1867787561">
    <w:abstractNumId w:val="4"/>
  </w:num>
  <w:num w:numId="15" w16cid:durableId="2054384630">
    <w:abstractNumId w:val="3"/>
  </w:num>
  <w:num w:numId="16" w16cid:durableId="742334821">
    <w:abstractNumId w:val="13"/>
  </w:num>
  <w:num w:numId="17" w16cid:durableId="425613336">
    <w:abstractNumId w:val="1"/>
  </w:num>
  <w:num w:numId="18" w16cid:durableId="350952857">
    <w:abstractNumId w:val="14"/>
  </w:num>
  <w:num w:numId="19" w16cid:durableId="1109086747">
    <w:abstractNumId w:val="4"/>
  </w:num>
  <w:num w:numId="20" w16cid:durableId="1457600474">
    <w:abstractNumId w:val="3"/>
  </w:num>
  <w:num w:numId="21" w16cid:durableId="412630233">
    <w:abstractNumId w:val="8"/>
  </w:num>
  <w:num w:numId="22" w16cid:durableId="1010252835">
    <w:abstractNumId w:val="1"/>
  </w:num>
  <w:num w:numId="23" w16cid:durableId="2134670143">
    <w:abstractNumId w:val="12"/>
  </w:num>
  <w:num w:numId="24" w16cid:durableId="1409185298">
    <w:abstractNumId w:val="2"/>
  </w:num>
  <w:num w:numId="25" w16cid:durableId="1064597613">
    <w:abstractNumId w:val="14"/>
  </w:num>
  <w:num w:numId="26" w16cid:durableId="1123889569">
    <w:abstractNumId w:val="4"/>
  </w:num>
  <w:num w:numId="27" w16cid:durableId="2087681005">
    <w:abstractNumId w:val="2"/>
  </w:num>
  <w:num w:numId="28" w16cid:durableId="1671102609">
    <w:abstractNumId w:val="3"/>
  </w:num>
  <w:num w:numId="29" w16cid:durableId="1720935577">
    <w:abstractNumId w:val="2"/>
  </w:num>
  <w:num w:numId="30" w16cid:durableId="1018576795">
    <w:abstractNumId w:val="10"/>
  </w:num>
  <w:num w:numId="31" w16cid:durableId="1586499982">
    <w:abstractNumId w:val="0"/>
  </w:num>
  <w:num w:numId="32" w16cid:durableId="134185144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jana Milikic">
    <w15:presenceInfo w15:providerId="AD" w15:userId="S::milikic@mdpi.com::0d87a4d6-93cd-43fd-a2ef-0c3df23be381"/>
  </w15:person>
  <w15:person w15:author="ROSA MARIA COCO MARTIN">
    <w15:presenceInfo w15:providerId="AD" w15:userId="S::rosamcoco@uva.es::9dbb88fb-6b34-45ec-9742-868cda1bb7cd"/>
  </w15:person>
  <w15:person w15:author="MM">
    <w15:presenceInfo w15:providerId="None" w15:userId="MM"/>
  </w15:person>
  <w15:person w15:author="MDPI">
    <w15:presenceInfo w15:providerId="None" w15:userId="MDPI"/>
  </w15:person>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85E"/>
    <w:rsid w:val="000019D8"/>
    <w:rsid w:val="00006F9A"/>
    <w:rsid w:val="00007112"/>
    <w:rsid w:val="000105F2"/>
    <w:rsid w:val="0001560B"/>
    <w:rsid w:val="00015615"/>
    <w:rsid w:val="000157C0"/>
    <w:rsid w:val="00020CE7"/>
    <w:rsid w:val="000302D9"/>
    <w:rsid w:val="00031496"/>
    <w:rsid w:val="000315FA"/>
    <w:rsid w:val="00031C58"/>
    <w:rsid w:val="00035127"/>
    <w:rsid w:val="00040D3C"/>
    <w:rsid w:val="00041D95"/>
    <w:rsid w:val="00042E2A"/>
    <w:rsid w:val="000436EB"/>
    <w:rsid w:val="00043EA3"/>
    <w:rsid w:val="00045CB0"/>
    <w:rsid w:val="00057CAA"/>
    <w:rsid w:val="00062207"/>
    <w:rsid w:val="0006399C"/>
    <w:rsid w:val="00065CFE"/>
    <w:rsid w:val="000662BE"/>
    <w:rsid w:val="000716B2"/>
    <w:rsid w:val="0007301D"/>
    <w:rsid w:val="00085672"/>
    <w:rsid w:val="00085770"/>
    <w:rsid w:val="00085A78"/>
    <w:rsid w:val="000913E3"/>
    <w:rsid w:val="00093506"/>
    <w:rsid w:val="000A2F97"/>
    <w:rsid w:val="000A7316"/>
    <w:rsid w:val="000A7AE3"/>
    <w:rsid w:val="000B44C6"/>
    <w:rsid w:val="000B7CBD"/>
    <w:rsid w:val="000C0FC2"/>
    <w:rsid w:val="000C3B45"/>
    <w:rsid w:val="000C6211"/>
    <w:rsid w:val="000C6424"/>
    <w:rsid w:val="000D5CB2"/>
    <w:rsid w:val="000E2866"/>
    <w:rsid w:val="000E4945"/>
    <w:rsid w:val="000F472E"/>
    <w:rsid w:val="000F704F"/>
    <w:rsid w:val="00123D92"/>
    <w:rsid w:val="0013650D"/>
    <w:rsid w:val="00152F6D"/>
    <w:rsid w:val="00157D56"/>
    <w:rsid w:val="001710B7"/>
    <w:rsid w:val="00172385"/>
    <w:rsid w:val="00172898"/>
    <w:rsid w:val="00173301"/>
    <w:rsid w:val="00175942"/>
    <w:rsid w:val="00177AA9"/>
    <w:rsid w:val="00180583"/>
    <w:rsid w:val="00180CA5"/>
    <w:rsid w:val="00185EA5"/>
    <w:rsid w:val="001B198F"/>
    <w:rsid w:val="001B31E7"/>
    <w:rsid w:val="001C0524"/>
    <w:rsid w:val="001C4EF2"/>
    <w:rsid w:val="001D148B"/>
    <w:rsid w:val="001D1C27"/>
    <w:rsid w:val="001D25D3"/>
    <w:rsid w:val="001E04CE"/>
    <w:rsid w:val="001E2AEB"/>
    <w:rsid w:val="001E6B6B"/>
    <w:rsid w:val="001F462D"/>
    <w:rsid w:val="001F4B3E"/>
    <w:rsid w:val="00204444"/>
    <w:rsid w:val="00227CB7"/>
    <w:rsid w:val="00256AB5"/>
    <w:rsid w:val="00262323"/>
    <w:rsid w:val="002674BF"/>
    <w:rsid w:val="00274D95"/>
    <w:rsid w:val="00280B6C"/>
    <w:rsid w:val="00280F25"/>
    <w:rsid w:val="00280FC4"/>
    <w:rsid w:val="00283C97"/>
    <w:rsid w:val="00287537"/>
    <w:rsid w:val="0028791B"/>
    <w:rsid w:val="00287BE6"/>
    <w:rsid w:val="0029303F"/>
    <w:rsid w:val="00294E9C"/>
    <w:rsid w:val="002A23BE"/>
    <w:rsid w:val="002A3CE4"/>
    <w:rsid w:val="002A6EBF"/>
    <w:rsid w:val="002A77FE"/>
    <w:rsid w:val="002B5FEA"/>
    <w:rsid w:val="002C1762"/>
    <w:rsid w:val="002C5B08"/>
    <w:rsid w:val="002C74FC"/>
    <w:rsid w:val="002D5743"/>
    <w:rsid w:val="002E235C"/>
    <w:rsid w:val="002F60B5"/>
    <w:rsid w:val="0030726F"/>
    <w:rsid w:val="00314B6E"/>
    <w:rsid w:val="003157BA"/>
    <w:rsid w:val="003207B3"/>
    <w:rsid w:val="00320FAC"/>
    <w:rsid w:val="003245C0"/>
    <w:rsid w:val="00325CF8"/>
    <w:rsid w:val="00326141"/>
    <w:rsid w:val="003277E9"/>
    <w:rsid w:val="0034278A"/>
    <w:rsid w:val="0034365E"/>
    <w:rsid w:val="00357C8D"/>
    <w:rsid w:val="00362F34"/>
    <w:rsid w:val="00391CDD"/>
    <w:rsid w:val="003961C2"/>
    <w:rsid w:val="003977A3"/>
    <w:rsid w:val="003A2C19"/>
    <w:rsid w:val="003D37C7"/>
    <w:rsid w:val="003D4857"/>
    <w:rsid w:val="003D55AB"/>
    <w:rsid w:val="003E1026"/>
    <w:rsid w:val="003E2FD7"/>
    <w:rsid w:val="003F2DA1"/>
    <w:rsid w:val="003F4ECB"/>
    <w:rsid w:val="00401D30"/>
    <w:rsid w:val="00412261"/>
    <w:rsid w:val="004142C7"/>
    <w:rsid w:val="00414CA0"/>
    <w:rsid w:val="004225B0"/>
    <w:rsid w:val="004334F5"/>
    <w:rsid w:val="00435D42"/>
    <w:rsid w:val="0045182C"/>
    <w:rsid w:val="00455762"/>
    <w:rsid w:val="00455C91"/>
    <w:rsid w:val="0046295C"/>
    <w:rsid w:val="00464BD3"/>
    <w:rsid w:val="0047002B"/>
    <w:rsid w:val="004825BB"/>
    <w:rsid w:val="00482D98"/>
    <w:rsid w:val="00486E14"/>
    <w:rsid w:val="004A7B5A"/>
    <w:rsid w:val="004B1358"/>
    <w:rsid w:val="004B3E58"/>
    <w:rsid w:val="004B6FA0"/>
    <w:rsid w:val="004B7429"/>
    <w:rsid w:val="004C053D"/>
    <w:rsid w:val="004C3117"/>
    <w:rsid w:val="004D54CC"/>
    <w:rsid w:val="004D5F4D"/>
    <w:rsid w:val="004F5B4C"/>
    <w:rsid w:val="004F7BFB"/>
    <w:rsid w:val="005123DF"/>
    <w:rsid w:val="00533687"/>
    <w:rsid w:val="00542AA8"/>
    <w:rsid w:val="00544097"/>
    <w:rsid w:val="00547A54"/>
    <w:rsid w:val="005502E7"/>
    <w:rsid w:val="0055191A"/>
    <w:rsid w:val="00551CE8"/>
    <w:rsid w:val="00556A64"/>
    <w:rsid w:val="005577F2"/>
    <w:rsid w:val="005606A2"/>
    <w:rsid w:val="00570913"/>
    <w:rsid w:val="00594F65"/>
    <w:rsid w:val="005963C5"/>
    <w:rsid w:val="005A06CB"/>
    <w:rsid w:val="005C257A"/>
    <w:rsid w:val="005D1A4C"/>
    <w:rsid w:val="005E52DA"/>
    <w:rsid w:val="005F65C2"/>
    <w:rsid w:val="006109F2"/>
    <w:rsid w:val="00610A30"/>
    <w:rsid w:val="00616F82"/>
    <w:rsid w:val="00622838"/>
    <w:rsid w:val="006300CB"/>
    <w:rsid w:val="00637CD2"/>
    <w:rsid w:val="00642933"/>
    <w:rsid w:val="0064583F"/>
    <w:rsid w:val="006469F5"/>
    <w:rsid w:val="006532ED"/>
    <w:rsid w:val="00660160"/>
    <w:rsid w:val="00664C48"/>
    <w:rsid w:val="00667913"/>
    <w:rsid w:val="00672FA2"/>
    <w:rsid w:val="006744BD"/>
    <w:rsid w:val="006826FA"/>
    <w:rsid w:val="006832B8"/>
    <w:rsid w:val="00684535"/>
    <w:rsid w:val="00685F96"/>
    <w:rsid w:val="006860F7"/>
    <w:rsid w:val="00687DE6"/>
    <w:rsid w:val="00691611"/>
    <w:rsid w:val="00691DEB"/>
    <w:rsid w:val="00692393"/>
    <w:rsid w:val="00694025"/>
    <w:rsid w:val="006A0C3F"/>
    <w:rsid w:val="006A11B0"/>
    <w:rsid w:val="006A5766"/>
    <w:rsid w:val="006A5D76"/>
    <w:rsid w:val="006A6997"/>
    <w:rsid w:val="006A79D9"/>
    <w:rsid w:val="006B16C5"/>
    <w:rsid w:val="006B1E1F"/>
    <w:rsid w:val="006C3990"/>
    <w:rsid w:val="006D227E"/>
    <w:rsid w:val="006D3297"/>
    <w:rsid w:val="006D5904"/>
    <w:rsid w:val="006D59F3"/>
    <w:rsid w:val="006E1776"/>
    <w:rsid w:val="006F049A"/>
    <w:rsid w:val="006F4017"/>
    <w:rsid w:val="0070052A"/>
    <w:rsid w:val="007018DC"/>
    <w:rsid w:val="00703B5E"/>
    <w:rsid w:val="0070451D"/>
    <w:rsid w:val="00705D61"/>
    <w:rsid w:val="00706D77"/>
    <w:rsid w:val="007202E4"/>
    <w:rsid w:val="007522FF"/>
    <w:rsid w:val="00752375"/>
    <w:rsid w:val="00752BF4"/>
    <w:rsid w:val="00756D0F"/>
    <w:rsid w:val="00761951"/>
    <w:rsid w:val="00765DB7"/>
    <w:rsid w:val="00770821"/>
    <w:rsid w:val="00771BF7"/>
    <w:rsid w:val="00775F40"/>
    <w:rsid w:val="00777AE3"/>
    <w:rsid w:val="007852AF"/>
    <w:rsid w:val="0079312A"/>
    <w:rsid w:val="00794E5F"/>
    <w:rsid w:val="007958D8"/>
    <w:rsid w:val="007972D3"/>
    <w:rsid w:val="00797BF9"/>
    <w:rsid w:val="007A006E"/>
    <w:rsid w:val="007B4127"/>
    <w:rsid w:val="007B64BB"/>
    <w:rsid w:val="007C7AA8"/>
    <w:rsid w:val="007D3C2F"/>
    <w:rsid w:val="007E4088"/>
    <w:rsid w:val="007F3A11"/>
    <w:rsid w:val="007F56BB"/>
    <w:rsid w:val="008022F9"/>
    <w:rsid w:val="00805102"/>
    <w:rsid w:val="00814F4C"/>
    <w:rsid w:val="00815C5F"/>
    <w:rsid w:val="00815F0D"/>
    <w:rsid w:val="00816BBE"/>
    <w:rsid w:val="00820827"/>
    <w:rsid w:val="00821EF1"/>
    <w:rsid w:val="00830273"/>
    <w:rsid w:val="008337EC"/>
    <w:rsid w:val="00840D96"/>
    <w:rsid w:val="00841E60"/>
    <w:rsid w:val="00845FF8"/>
    <w:rsid w:val="00851192"/>
    <w:rsid w:val="00853B85"/>
    <w:rsid w:val="0085469D"/>
    <w:rsid w:val="0085624E"/>
    <w:rsid w:val="00865A31"/>
    <w:rsid w:val="008676DA"/>
    <w:rsid w:val="008862FB"/>
    <w:rsid w:val="0089403E"/>
    <w:rsid w:val="008954CF"/>
    <w:rsid w:val="00896C60"/>
    <w:rsid w:val="00897A81"/>
    <w:rsid w:val="008C410B"/>
    <w:rsid w:val="008D0B41"/>
    <w:rsid w:val="008D18A2"/>
    <w:rsid w:val="008E63F1"/>
    <w:rsid w:val="008F1228"/>
    <w:rsid w:val="008F3CDC"/>
    <w:rsid w:val="008F6AC4"/>
    <w:rsid w:val="008F6E8C"/>
    <w:rsid w:val="009035B8"/>
    <w:rsid w:val="00904B95"/>
    <w:rsid w:val="009138E9"/>
    <w:rsid w:val="00914275"/>
    <w:rsid w:val="00914B8B"/>
    <w:rsid w:val="00915CAE"/>
    <w:rsid w:val="00922E38"/>
    <w:rsid w:val="0093101A"/>
    <w:rsid w:val="00936D19"/>
    <w:rsid w:val="00940C3D"/>
    <w:rsid w:val="00943496"/>
    <w:rsid w:val="00943EE6"/>
    <w:rsid w:val="009449F0"/>
    <w:rsid w:val="00945A8C"/>
    <w:rsid w:val="00946195"/>
    <w:rsid w:val="00950951"/>
    <w:rsid w:val="00970559"/>
    <w:rsid w:val="00970888"/>
    <w:rsid w:val="009709FF"/>
    <w:rsid w:val="009732F2"/>
    <w:rsid w:val="00977AC0"/>
    <w:rsid w:val="0098349A"/>
    <w:rsid w:val="00994A5F"/>
    <w:rsid w:val="00995F53"/>
    <w:rsid w:val="00996419"/>
    <w:rsid w:val="009A047C"/>
    <w:rsid w:val="009A197C"/>
    <w:rsid w:val="009C093E"/>
    <w:rsid w:val="009C35C7"/>
    <w:rsid w:val="009C5052"/>
    <w:rsid w:val="009C5893"/>
    <w:rsid w:val="009D2857"/>
    <w:rsid w:val="009D3806"/>
    <w:rsid w:val="009D56B0"/>
    <w:rsid w:val="009E6629"/>
    <w:rsid w:val="009F70E6"/>
    <w:rsid w:val="009F7D97"/>
    <w:rsid w:val="00A03B4C"/>
    <w:rsid w:val="00A101AC"/>
    <w:rsid w:val="00A24662"/>
    <w:rsid w:val="00A3564D"/>
    <w:rsid w:val="00A44C61"/>
    <w:rsid w:val="00A55B23"/>
    <w:rsid w:val="00A637A9"/>
    <w:rsid w:val="00A63F61"/>
    <w:rsid w:val="00A64D8C"/>
    <w:rsid w:val="00A677DD"/>
    <w:rsid w:val="00A73B50"/>
    <w:rsid w:val="00A806FE"/>
    <w:rsid w:val="00A86436"/>
    <w:rsid w:val="00A86F6A"/>
    <w:rsid w:val="00A875D8"/>
    <w:rsid w:val="00A92379"/>
    <w:rsid w:val="00A94930"/>
    <w:rsid w:val="00AA4774"/>
    <w:rsid w:val="00AB2F7D"/>
    <w:rsid w:val="00AB44F2"/>
    <w:rsid w:val="00AC3FDF"/>
    <w:rsid w:val="00AC6726"/>
    <w:rsid w:val="00AD0195"/>
    <w:rsid w:val="00AD3640"/>
    <w:rsid w:val="00AD4E9B"/>
    <w:rsid w:val="00AD6D5A"/>
    <w:rsid w:val="00AE0F2C"/>
    <w:rsid w:val="00AE6381"/>
    <w:rsid w:val="00AF63F6"/>
    <w:rsid w:val="00AF66CF"/>
    <w:rsid w:val="00B0338E"/>
    <w:rsid w:val="00B10FA7"/>
    <w:rsid w:val="00B13B29"/>
    <w:rsid w:val="00B203A6"/>
    <w:rsid w:val="00B24D42"/>
    <w:rsid w:val="00B27BDC"/>
    <w:rsid w:val="00B333AB"/>
    <w:rsid w:val="00B43954"/>
    <w:rsid w:val="00B56D49"/>
    <w:rsid w:val="00B57CED"/>
    <w:rsid w:val="00B708A2"/>
    <w:rsid w:val="00B71BC2"/>
    <w:rsid w:val="00B81514"/>
    <w:rsid w:val="00B84578"/>
    <w:rsid w:val="00B84BC1"/>
    <w:rsid w:val="00B87FC1"/>
    <w:rsid w:val="00B9443A"/>
    <w:rsid w:val="00BA1EDB"/>
    <w:rsid w:val="00BB0705"/>
    <w:rsid w:val="00BB2253"/>
    <w:rsid w:val="00BB7AA1"/>
    <w:rsid w:val="00BC02BE"/>
    <w:rsid w:val="00BC211F"/>
    <w:rsid w:val="00BC2D10"/>
    <w:rsid w:val="00BC348E"/>
    <w:rsid w:val="00BC66C6"/>
    <w:rsid w:val="00BC693E"/>
    <w:rsid w:val="00BD0510"/>
    <w:rsid w:val="00BD5379"/>
    <w:rsid w:val="00BE0263"/>
    <w:rsid w:val="00BE21DC"/>
    <w:rsid w:val="00BE4E1F"/>
    <w:rsid w:val="00BF327C"/>
    <w:rsid w:val="00BF5D96"/>
    <w:rsid w:val="00BF6145"/>
    <w:rsid w:val="00BF6F8B"/>
    <w:rsid w:val="00C02B5F"/>
    <w:rsid w:val="00C06920"/>
    <w:rsid w:val="00C078B3"/>
    <w:rsid w:val="00C1439D"/>
    <w:rsid w:val="00C144B6"/>
    <w:rsid w:val="00C166EA"/>
    <w:rsid w:val="00C16CE3"/>
    <w:rsid w:val="00C17D2C"/>
    <w:rsid w:val="00C22A4D"/>
    <w:rsid w:val="00C2641E"/>
    <w:rsid w:val="00C35921"/>
    <w:rsid w:val="00C35F62"/>
    <w:rsid w:val="00C44BB6"/>
    <w:rsid w:val="00C4562C"/>
    <w:rsid w:val="00C56B41"/>
    <w:rsid w:val="00C708D1"/>
    <w:rsid w:val="00C73519"/>
    <w:rsid w:val="00C76749"/>
    <w:rsid w:val="00C77EF2"/>
    <w:rsid w:val="00CA0FE4"/>
    <w:rsid w:val="00CA11B0"/>
    <w:rsid w:val="00CA6FBF"/>
    <w:rsid w:val="00CB3CFA"/>
    <w:rsid w:val="00CB5986"/>
    <w:rsid w:val="00CC4494"/>
    <w:rsid w:val="00CE5360"/>
    <w:rsid w:val="00CF3D6F"/>
    <w:rsid w:val="00D0019A"/>
    <w:rsid w:val="00D01E9F"/>
    <w:rsid w:val="00D03F63"/>
    <w:rsid w:val="00D0452F"/>
    <w:rsid w:val="00D06DB4"/>
    <w:rsid w:val="00D106D0"/>
    <w:rsid w:val="00D14BEF"/>
    <w:rsid w:val="00D15FBD"/>
    <w:rsid w:val="00D235B1"/>
    <w:rsid w:val="00D3558B"/>
    <w:rsid w:val="00D40256"/>
    <w:rsid w:val="00D537C4"/>
    <w:rsid w:val="00D65B59"/>
    <w:rsid w:val="00D72E82"/>
    <w:rsid w:val="00D76EFE"/>
    <w:rsid w:val="00D81434"/>
    <w:rsid w:val="00D85541"/>
    <w:rsid w:val="00D94096"/>
    <w:rsid w:val="00DB27EE"/>
    <w:rsid w:val="00DB5D84"/>
    <w:rsid w:val="00DB65CB"/>
    <w:rsid w:val="00DB7775"/>
    <w:rsid w:val="00DC0E6D"/>
    <w:rsid w:val="00DC3E3D"/>
    <w:rsid w:val="00DC43BE"/>
    <w:rsid w:val="00DC5308"/>
    <w:rsid w:val="00DC7658"/>
    <w:rsid w:val="00DD0707"/>
    <w:rsid w:val="00DF009F"/>
    <w:rsid w:val="00E00AC1"/>
    <w:rsid w:val="00E06623"/>
    <w:rsid w:val="00E133AB"/>
    <w:rsid w:val="00E207EF"/>
    <w:rsid w:val="00E23E78"/>
    <w:rsid w:val="00E2482A"/>
    <w:rsid w:val="00E30184"/>
    <w:rsid w:val="00E3135D"/>
    <w:rsid w:val="00E338ED"/>
    <w:rsid w:val="00E37372"/>
    <w:rsid w:val="00E40764"/>
    <w:rsid w:val="00E46717"/>
    <w:rsid w:val="00E548E8"/>
    <w:rsid w:val="00E571F9"/>
    <w:rsid w:val="00E6185D"/>
    <w:rsid w:val="00E62446"/>
    <w:rsid w:val="00E6298A"/>
    <w:rsid w:val="00E85CFE"/>
    <w:rsid w:val="00E911C9"/>
    <w:rsid w:val="00E917EF"/>
    <w:rsid w:val="00E91B4B"/>
    <w:rsid w:val="00E9417E"/>
    <w:rsid w:val="00EA0A97"/>
    <w:rsid w:val="00EA792D"/>
    <w:rsid w:val="00EB489E"/>
    <w:rsid w:val="00EB730D"/>
    <w:rsid w:val="00EC0154"/>
    <w:rsid w:val="00EC2CB7"/>
    <w:rsid w:val="00EE3D95"/>
    <w:rsid w:val="00EE5B6C"/>
    <w:rsid w:val="00EF4BE8"/>
    <w:rsid w:val="00F0391C"/>
    <w:rsid w:val="00F07CEB"/>
    <w:rsid w:val="00F120CE"/>
    <w:rsid w:val="00F1301B"/>
    <w:rsid w:val="00F1352D"/>
    <w:rsid w:val="00F14FF4"/>
    <w:rsid w:val="00F159D6"/>
    <w:rsid w:val="00F15C39"/>
    <w:rsid w:val="00F17E32"/>
    <w:rsid w:val="00F20DC0"/>
    <w:rsid w:val="00F24B96"/>
    <w:rsid w:val="00F25EAA"/>
    <w:rsid w:val="00F33822"/>
    <w:rsid w:val="00F3667D"/>
    <w:rsid w:val="00F41D77"/>
    <w:rsid w:val="00F515A5"/>
    <w:rsid w:val="00F564CC"/>
    <w:rsid w:val="00F61547"/>
    <w:rsid w:val="00F638F8"/>
    <w:rsid w:val="00F733DC"/>
    <w:rsid w:val="00F96306"/>
    <w:rsid w:val="00F965A7"/>
    <w:rsid w:val="00FA08B3"/>
    <w:rsid w:val="00FA2DB6"/>
    <w:rsid w:val="00FA4695"/>
    <w:rsid w:val="00FA5023"/>
    <w:rsid w:val="00FA7BBD"/>
    <w:rsid w:val="00FB270B"/>
    <w:rsid w:val="00FB2A12"/>
    <w:rsid w:val="00FB6189"/>
    <w:rsid w:val="00FB785E"/>
    <w:rsid w:val="00FC4EA5"/>
    <w:rsid w:val="00FC52BA"/>
    <w:rsid w:val="00FC70BF"/>
    <w:rsid w:val="00FC7EAF"/>
    <w:rsid w:val="00FD4789"/>
    <w:rsid w:val="00FD4D5D"/>
    <w:rsid w:val="00FD6CA7"/>
    <w:rsid w:val="00FD76C7"/>
    <w:rsid w:val="00FE6943"/>
    <w:rsid w:val="00FF1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400FA5"/>
  <w15:chartTrackingRefBased/>
  <w15:docId w15:val="{C014D909-04DC-47E6-86D7-A574DFBE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6943"/>
    <w:pPr>
      <w:spacing w:line="260" w:lineRule="atLeast"/>
      <w:jc w:val="both"/>
    </w:pPr>
    <w:rPr>
      <w:rFonts w:ascii="Palatino Linotype" w:hAnsi="Palatino Linotype"/>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1articletype">
    <w:name w:val="MDPI_1.1_article_type"/>
    <w:next w:val="Normal"/>
    <w:qFormat/>
    <w:rsid w:val="00922E38"/>
    <w:pPr>
      <w:adjustRightInd w:val="0"/>
      <w:snapToGrid w:val="0"/>
      <w:spacing w:before="240"/>
    </w:pPr>
    <w:rPr>
      <w:rFonts w:ascii="Palatino Linotype" w:eastAsia="Times New Roman" w:hAnsi="Palatino Linotype"/>
      <w:i/>
      <w:snapToGrid w:val="0"/>
      <w:color w:val="000000"/>
      <w:kern w:val="2"/>
      <w:szCs w:val="22"/>
      <w:lang w:eastAsia="de-DE" w:bidi="en-US"/>
      <w14:ligatures w14:val="standardContextual"/>
    </w:rPr>
  </w:style>
  <w:style w:type="paragraph" w:customStyle="1" w:styleId="MDPI12title">
    <w:name w:val="MDPI_1.2_title"/>
    <w:next w:val="Normal"/>
    <w:qFormat/>
    <w:rsid w:val="00922E38"/>
    <w:pPr>
      <w:adjustRightInd w:val="0"/>
      <w:snapToGrid w:val="0"/>
      <w:spacing w:after="240" w:line="240" w:lineRule="atLeast"/>
    </w:pPr>
    <w:rPr>
      <w:rFonts w:ascii="Palatino Linotype" w:eastAsia="Times New Roman" w:hAnsi="Palatino Linotype"/>
      <w:b/>
      <w:snapToGrid w:val="0"/>
      <w:color w:val="000000"/>
      <w:kern w:val="2"/>
      <w:sz w:val="36"/>
      <w:lang w:eastAsia="de-DE" w:bidi="en-US"/>
      <w14:ligatures w14:val="standardContextual"/>
    </w:rPr>
  </w:style>
  <w:style w:type="paragraph" w:customStyle="1" w:styleId="MDPI13authornames">
    <w:name w:val="MDPI_1.3_authornames"/>
    <w:next w:val="Normal"/>
    <w:qFormat/>
    <w:rsid w:val="00922E38"/>
    <w:pPr>
      <w:adjustRightInd w:val="0"/>
      <w:snapToGrid w:val="0"/>
      <w:spacing w:after="360" w:line="260" w:lineRule="atLeast"/>
    </w:pPr>
    <w:rPr>
      <w:rFonts w:ascii="Palatino Linotype" w:eastAsia="Times New Roman" w:hAnsi="Palatino Linotype"/>
      <w:b/>
      <w:color w:val="000000"/>
      <w:kern w:val="2"/>
      <w:szCs w:val="22"/>
      <w:lang w:eastAsia="de-DE" w:bidi="en-US"/>
      <w14:ligatures w14:val="standardContextual"/>
    </w:rPr>
  </w:style>
  <w:style w:type="paragraph" w:customStyle="1" w:styleId="MDPI14history">
    <w:name w:val="MDPI_1.4_history"/>
    <w:basedOn w:val="Normal"/>
    <w:next w:val="Normal"/>
    <w:qFormat/>
    <w:rsid w:val="00922E38"/>
    <w:pPr>
      <w:adjustRightInd w:val="0"/>
      <w:snapToGrid w:val="0"/>
      <w:spacing w:line="240" w:lineRule="atLeast"/>
      <w:ind w:right="113"/>
      <w:jc w:val="left"/>
    </w:pPr>
    <w:rPr>
      <w:rFonts w:eastAsia="Times New Roman"/>
      <w:kern w:val="2"/>
      <w:sz w:val="14"/>
      <w:lang w:eastAsia="de-DE" w:bidi="en-US"/>
      <w14:ligatures w14:val="standardContextual"/>
    </w:rPr>
  </w:style>
  <w:style w:type="paragraph" w:customStyle="1" w:styleId="MDPI16affiliation">
    <w:name w:val="MDPI_1.6_affiliation"/>
    <w:qFormat/>
    <w:rsid w:val="00922E38"/>
    <w:pPr>
      <w:adjustRightInd w:val="0"/>
      <w:snapToGrid w:val="0"/>
      <w:spacing w:line="200" w:lineRule="atLeast"/>
      <w:ind w:left="2806" w:hanging="198"/>
    </w:pPr>
    <w:rPr>
      <w:rFonts w:ascii="Palatino Linotype" w:eastAsia="Times New Roman" w:hAnsi="Palatino Linotype"/>
      <w:color w:val="000000"/>
      <w:kern w:val="2"/>
      <w:sz w:val="16"/>
      <w:szCs w:val="18"/>
      <w:lang w:eastAsia="de-DE" w:bidi="en-US"/>
      <w14:ligatures w14:val="standardContextual"/>
    </w:rPr>
  </w:style>
  <w:style w:type="paragraph" w:customStyle="1" w:styleId="MDPI17abstract">
    <w:name w:val="MDPI_1.7_abstract"/>
    <w:next w:val="Normal"/>
    <w:qFormat/>
    <w:rsid w:val="00922E38"/>
    <w:pPr>
      <w:adjustRightInd w:val="0"/>
      <w:snapToGrid w:val="0"/>
      <w:spacing w:before="240" w:line="260" w:lineRule="atLeast"/>
      <w:ind w:left="2608"/>
      <w:jc w:val="both"/>
    </w:pPr>
    <w:rPr>
      <w:rFonts w:ascii="Palatino Linotype" w:eastAsia="Times New Roman" w:hAnsi="Palatino Linotype"/>
      <w:color w:val="000000"/>
      <w:kern w:val="2"/>
      <w:sz w:val="18"/>
      <w:szCs w:val="22"/>
      <w:lang w:eastAsia="de-DE" w:bidi="en-US"/>
      <w14:ligatures w14:val="standardContextual"/>
    </w:rPr>
  </w:style>
  <w:style w:type="paragraph" w:customStyle="1" w:styleId="MDPI18keywords">
    <w:name w:val="MDPI_1.8_keywords"/>
    <w:next w:val="Normal"/>
    <w:qFormat/>
    <w:rsid w:val="00922E38"/>
    <w:pPr>
      <w:adjustRightInd w:val="0"/>
      <w:snapToGrid w:val="0"/>
      <w:spacing w:before="240" w:line="260" w:lineRule="atLeast"/>
      <w:ind w:left="2608"/>
      <w:jc w:val="both"/>
    </w:pPr>
    <w:rPr>
      <w:rFonts w:ascii="Palatino Linotype" w:eastAsia="Times New Roman" w:hAnsi="Palatino Linotype"/>
      <w:snapToGrid w:val="0"/>
      <w:color w:val="000000"/>
      <w:kern w:val="2"/>
      <w:sz w:val="18"/>
      <w:szCs w:val="22"/>
      <w:lang w:eastAsia="de-DE" w:bidi="en-US"/>
      <w14:ligatures w14:val="standardContextual"/>
    </w:rPr>
  </w:style>
  <w:style w:type="paragraph" w:customStyle="1" w:styleId="MDPI19line">
    <w:name w:val="MDPI_1.9_line"/>
    <w:qFormat/>
    <w:rsid w:val="00E23E78"/>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kern w:val="2"/>
      <w:szCs w:val="24"/>
      <w:lang w:eastAsia="de-DE" w:bidi="en-US"/>
      <w14:ligatures w14:val="standardContextual"/>
    </w:rPr>
  </w:style>
  <w:style w:type="paragraph" w:styleId="Piedepgina">
    <w:name w:val="footer"/>
    <w:basedOn w:val="Normal"/>
    <w:link w:val="PiedepginaCar"/>
    <w:uiPriority w:val="99"/>
    <w:rsid w:val="00FE6943"/>
    <w:pPr>
      <w:tabs>
        <w:tab w:val="center" w:pos="4153"/>
        <w:tab w:val="right" w:pos="8306"/>
      </w:tabs>
      <w:snapToGrid w:val="0"/>
      <w:spacing w:line="240" w:lineRule="atLeast"/>
    </w:pPr>
    <w:rPr>
      <w:szCs w:val="18"/>
    </w:rPr>
  </w:style>
  <w:style w:type="character" w:customStyle="1" w:styleId="PiedepginaCar">
    <w:name w:val="Pie de página Car"/>
    <w:link w:val="Piedepgina"/>
    <w:uiPriority w:val="99"/>
    <w:rsid w:val="00FE6943"/>
    <w:rPr>
      <w:rFonts w:ascii="Palatino Linotype" w:hAnsi="Palatino Linotype"/>
      <w:noProof/>
      <w:color w:val="000000"/>
      <w:szCs w:val="18"/>
    </w:rPr>
  </w:style>
  <w:style w:type="paragraph" w:styleId="Encabezado">
    <w:name w:val="header"/>
    <w:basedOn w:val="Normal"/>
    <w:link w:val="EncabezadoCar"/>
    <w:uiPriority w:val="99"/>
    <w:rsid w:val="00FE6943"/>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link w:val="Encabezado"/>
    <w:uiPriority w:val="99"/>
    <w:rsid w:val="00FE6943"/>
    <w:rPr>
      <w:rFonts w:ascii="Palatino Linotype" w:hAnsi="Palatino Linotype"/>
      <w:noProof/>
      <w:color w:val="000000"/>
      <w:szCs w:val="18"/>
    </w:rPr>
  </w:style>
  <w:style w:type="paragraph" w:customStyle="1" w:styleId="MDPIheaderjournallogo">
    <w:name w:val="MDPI_header_journal_logo"/>
    <w:qFormat/>
    <w:rsid w:val="00922E38"/>
    <w:pPr>
      <w:adjustRightInd w:val="0"/>
      <w:snapToGrid w:val="0"/>
      <w:spacing w:line="260" w:lineRule="atLeast"/>
      <w:jc w:val="both"/>
    </w:pPr>
    <w:rPr>
      <w:rFonts w:ascii="Palatino Linotype" w:eastAsia="Times New Roman" w:hAnsi="Palatino Linotype"/>
      <w:i/>
      <w:color w:val="000000"/>
      <w:kern w:val="2"/>
      <w:sz w:val="24"/>
      <w:szCs w:val="22"/>
      <w:lang w:eastAsia="de-CH"/>
      <w14:ligatures w14:val="standardContextual"/>
    </w:rPr>
  </w:style>
  <w:style w:type="paragraph" w:customStyle="1" w:styleId="MDPI32textnoindent">
    <w:name w:val="MDPI_3.2_text_no_indent"/>
    <w:basedOn w:val="MDPI31text"/>
    <w:qFormat/>
    <w:rsid w:val="00922E38"/>
    <w:pPr>
      <w:ind w:firstLine="0"/>
    </w:pPr>
  </w:style>
  <w:style w:type="paragraph" w:customStyle="1" w:styleId="MDPI31text">
    <w:name w:val="MDPI_3.1_text"/>
    <w:qFormat/>
    <w:rsid w:val="00922E38"/>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3textspaceafter">
    <w:name w:val="MDPI_3.3_text_space_after"/>
    <w:qFormat/>
    <w:rsid w:val="00922E38"/>
    <w:pPr>
      <w:adjustRightInd w:val="0"/>
      <w:snapToGrid w:val="0"/>
      <w:spacing w:after="24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4textspacebefore">
    <w:name w:val="MDPI_3.4_text_space_before"/>
    <w:qFormat/>
    <w:rsid w:val="00922E38"/>
    <w:pPr>
      <w:adjustRightInd w:val="0"/>
      <w:snapToGrid w:val="0"/>
      <w:spacing w:before="24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5textbeforelist">
    <w:name w:val="MDPI_3.5_text_before_list"/>
    <w:qFormat/>
    <w:rsid w:val="00922E38"/>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6textafterlist">
    <w:name w:val="MDPI_3.6_text_after_list"/>
    <w:qFormat/>
    <w:rsid w:val="00922E38"/>
    <w:pPr>
      <w:adjustRightInd w:val="0"/>
      <w:snapToGrid w:val="0"/>
      <w:spacing w:before="12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7itemize">
    <w:name w:val="MDPI_3.7_itemize"/>
    <w:qFormat/>
    <w:rsid w:val="00922E38"/>
    <w:pPr>
      <w:numPr>
        <w:numId w:val="25"/>
      </w:numPr>
      <w:adjustRightInd w:val="0"/>
      <w:snapToGrid w:val="0"/>
      <w:spacing w:line="228" w:lineRule="auto"/>
      <w:jc w:val="both"/>
    </w:pPr>
    <w:rPr>
      <w:rFonts w:ascii="Palatino Linotype" w:eastAsia="Times New Roman" w:hAnsi="Palatino Linotype"/>
      <w:color w:val="000000"/>
      <w:kern w:val="2"/>
      <w:szCs w:val="22"/>
      <w:lang w:eastAsia="de-DE" w:bidi="en-US"/>
      <w14:ligatures w14:val="standardContextual"/>
    </w:rPr>
  </w:style>
  <w:style w:type="paragraph" w:customStyle="1" w:styleId="MDPI38bullet">
    <w:name w:val="MDPI_3.8_bullet"/>
    <w:qFormat/>
    <w:rsid w:val="00922E38"/>
    <w:pPr>
      <w:numPr>
        <w:numId w:val="26"/>
      </w:numPr>
      <w:adjustRightInd w:val="0"/>
      <w:snapToGrid w:val="0"/>
      <w:spacing w:line="228" w:lineRule="auto"/>
      <w:jc w:val="both"/>
    </w:pPr>
    <w:rPr>
      <w:rFonts w:ascii="Palatino Linotype" w:eastAsia="Times New Roman" w:hAnsi="Palatino Linotype"/>
      <w:color w:val="000000"/>
      <w:kern w:val="2"/>
      <w:szCs w:val="22"/>
      <w:lang w:eastAsia="de-DE" w:bidi="en-US"/>
      <w14:ligatures w14:val="standardContextual"/>
    </w:rPr>
  </w:style>
  <w:style w:type="paragraph" w:customStyle="1" w:styleId="MDPI39equation">
    <w:name w:val="MDPI_3.9_equation"/>
    <w:qFormat/>
    <w:rsid w:val="00922E38"/>
    <w:pPr>
      <w:adjustRightInd w:val="0"/>
      <w:snapToGrid w:val="0"/>
      <w:spacing w:before="120" w:after="120" w:line="260" w:lineRule="atLeast"/>
      <w:ind w:left="709"/>
      <w:jc w:val="center"/>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aequationnumber">
    <w:name w:val="MDPI_3.a_equation_number"/>
    <w:qFormat/>
    <w:rsid w:val="00922E38"/>
    <w:pPr>
      <w:spacing w:before="120" w:after="120"/>
      <w:jc w:val="right"/>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41tablecaption">
    <w:name w:val="MDPI_4.1_table_caption"/>
    <w:qFormat/>
    <w:rsid w:val="00922E38"/>
    <w:pPr>
      <w:adjustRightInd w:val="0"/>
      <w:snapToGrid w:val="0"/>
      <w:spacing w:before="240" w:after="120" w:line="228" w:lineRule="auto"/>
      <w:ind w:left="2608"/>
    </w:pPr>
    <w:rPr>
      <w:rFonts w:ascii="Palatino Linotype" w:eastAsia="Times New Roman" w:hAnsi="Palatino Linotype" w:cstheme="minorBidi"/>
      <w:color w:val="000000"/>
      <w:kern w:val="2"/>
      <w:sz w:val="18"/>
      <w:szCs w:val="22"/>
      <w:lang w:eastAsia="de-DE" w:bidi="en-US"/>
      <w14:ligatures w14:val="standardContextual"/>
    </w:rPr>
  </w:style>
  <w:style w:type="paragraph" w:customStyle="1" w:styleId="MDPI42tablebody">
    <w:name w:val="MDPI_4.2_table_body"/>
    <w:qFormat/>
    <w:rsid w:val="00922E38"/>
    <w:pPr>
      <w:adjustRightInd w:val="0"/>
      <w:snapToGrid w:val="0"/>
      <w:jc w:val="center"/>
    </w:pPr>
    <w:rPr>
      <w:rFonts w:ascii="Palatino Linotype" w:eastAsia="Times New Roman" w:hAnsi="Palatino Linotype"/>
      <w:snapToGrid w:val="0"/>
      <w:color w:val="000000"/>
      <w:kern w:val="2"/>
      <w:lang w:eastAsia="de-DE" w:bidi="en-US"/>
      <w14:ligatures w14:val="standardContextual"/>
    </w:rPr>
  </w:style>
  <w:style w:type="paragraph" w:customStyle="1" w:styleId="MDPI43tablefooter">
    <w:name w:val="MDPI_4.3_table_footer"/>
    <w:next w:val="MDPI31text"/>
    <w:qFormat/>
    <w:rsid w:val="00922E38"/>
    <w:pPr>
      <w:adjustRightInd w:val="0"/>
      <w:snapToGrid w:val="0"/>
      <w:spacing w:line="228" w:lineRule="auto"/>
      <w:ind w:left="2608"/>
      <w:jc w:val="both"/>
    </w:pPr>
    <w:rPr>
      <w:rFonts w:ascii="Palatino Linotype" w:eastAsia="Times New Roman" w:hAnsi="Palatino Linotype" w:cs="Cordia New"/>
      <w:color w:val="000000"/>
      <w:kern w:val="2"/>
      <w:sz w:val="18"/>
      <w:szCs w:val="22"/>
      <w:lang w:eastAsia="de-DE" w:bidi="en-US"/>
      <w14:ligatures w14:val="standardContextual"/>
    </w:rPr>
  </w:style>
  <w:style w:type="paragraph" w:customStyle="1" w:styleId="MDPI51figurecaption">
    <w:name w:val="MDPI_5.1_figure_caption"/>
    <w:qFormat/>
    <w:rsid w:val="00922E38"/>
    <w:pPr>
      <w:adjustRightInd w:val="0"/>
      <w:snapToGrid w:val="0"/>
      <w:spacing w:before="120" w:after="240" w:line="228" w:lineRule="auto"/>
      <w:ind w:left="2608"/>
    </w:pPr>
    <w:rPr>
      <w:rFonts w:ascii="Palatino Linotype" w:eastAsia="Times New Roman" w:hAnsi="Palatino Linotype"/>
      <w:color w:val="000000"/>
      <w:kern w:val="2"/>
      <w:sz w:val="18"/>
      <w:lang w:eastAsia="de-DE" w:bidi="en-US"/>
      <w14:ligatures w14:val="standardContextual"/>
    </w:rPr>
  </w:style>
  <w:style w:type="paragraph" w:customStyle="1" w:styleId="MDPI52figure">
    <w:name w:val="MDPI_5.2_figure"/>
    <w:qFormat/>
    <w:rsid w:val="00922E38"/>
    <w:pPr>
      <w:adjustRightInd w:val="0"/>
      <w:snapToGrid w:val="0"/>
      <w:spacing w:before="240" w:after="120"/>
      <w:jc w:val="center"/>
    </w:pPr>
    <w:rPr>
      <w:rFonts w:ascii="Palatino Linotype" w:eastAsia="Times New Roman" w:hAnsi="Palatino Linotype"/>
      <w:snapToGrid w:val="0"/>
      <w:color w:val="000000"/>
      <w:kern w:val="2"/>
      <w:lang w:eastAsia="de-DE" w:bidi="en-US"/>
      <w14:ligatures w14:val="standardContextual"/>
    </w:rPr>
  </w:style>
  <w:style w:type="paragraph" w:customStyle="1" w:styleId="MDPI81theorem">
    <w:name w:val="MDPI_8.1_theorem"/>
    <w:qFormat/>
    <w:rsid w:val="00922E38"/>
    <w:pPr>
      <w:adjustRightInd w:val="0"/>
      <w:snapToGrid w:val="0"/>
      <w:spacing w:line="228" w:lineRule="auto"/>
      <w:ind w:left="2608"/>
      <w:jc w:val="both"/>
    </w:pPr>
    <w:rPr>
      <w:rFonts w:ascii="Palatino Linotype" w:eastAsia="Times New Roman" w:hAnsi="Palatino Linotype"/>
      <w:i/>
      <w:snapToGrid w:val="0"/>
      <w:color w:val="000000"/>
      <w:kern w:val="2"/>
      <w:szCs w:val="22"/>
      <w:lang w:eastAsia="de-DE" w:bidi="en-US"/>
      <w14:ligatures w14:val="standardContextual"/>
    </w:rPr>
  </w:style>
  <w:style w:type="paragraph" w:customStyle="1" w:styleId="MDPI82proof">
    <w:name w:val="MDPI_8.2_proof"/>
    <w:qFormat/>
    <w:rsid w:val="00922E38"/>
    <w:pPr>
      <w:adjustRightInd w:val="0"/>
      <w:snapToGrid w:val="0"/>
      <w:spacing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footerfirstpage">
    <w:name w:val="MDPI_footer_firstpage"/>
    <w:qFormat/>
    <w:rsid w:val="00922E38"/>
    <w:pPr>
      <w:tabs>
        <w:tab w:val="right" w:pos="8845"/>
      </w:tabs>
      <w:spacing w:line="160" w:lineRule="exact"/>
    </w:pPr>
    <w:rPr>
      <w:rFonts w:ascii="Palatino Linotype" w:eastAsia="Times New Roman" w:hAnsi="Palatino Linotype"/>
      <w:color w:val="000000"/>
      <w:kern w:val="2"/>
      <w:sz w:val="16"/>
      <w:lang w:eastAsia="de-DE"/>
      <w14:ligatures w14:val="standardContextual"/>
    </w:rPr>
  </w:style>
  <w:style w:type="paragraph" w:customStyle="1" w:styleId="MDPI23heading3">
    <w:name w:val="MDPI_2.3_heading3"/>
    <w:qFormat/>
    <w:rsid w:val="00922E38"/>
    <w:pPr>
      <w:adjustRightInd w:val="0"/>
      <w:snapToGrid w:val="0"/>
      <w:spacing w:before="60" w:after="60" w:line="228" w:lineRule="auto"/>
      <w:ind w:left="2608"/>
      <w:outlineLvl w:val="2"/>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21heading1">
    <w:name w:val="MDPI_2.1_heading1"/>
    <w:qFormat/>
    <w:rsid w:val="00922E38"/>
    <w:pPr>
      <w:adjustRightInd w:val="0"/>
      <w:snapToGrid w:val="0"/>
      <w:spacing w:before="240" w:after="60" w:line="228" w:lineRule="auto"/>
      <w:ind w:left="2608"/>
      <w:outlineLvl w:val="0"/>
    </w:pPr>
    <w:rPr>
      <w:rFonts w:ascii="Palatino Linotype" w:eastAsia="Times New Roman" w:hAnsi="Palatino Linotype"/>
      <w:b/>
      <w:snapToGrid w:val="0"/>
      <w:color w:val="000000"/>
      <w:kern w:val="2"/>
      <w:szCs w:val="22"/>
      <w:lang w:eastAsia="de-DE" w:bidi="en-US"/>
      <w14:ligatures w14:val="standardContextual"/>
    </w:rPr>
  </w:style>
  <w:style w:type="paragraph" w:customStyle="1" w:styleId="MDPI22heading2">
    <w:name w:val="MDPI_2.2_heading2"/>
    <w:qFormat/>
    <w:rsid w:val="00922E38"/>
    <w:pPr>
      <w:adjustRightInd w:val="0"/>
      <w:snapToGrid w:val="0"/>
      <w:spacing w:before="60" w:after="60" w:line="228" w:lineRule="auto"/>
      <w:ind w:left="2608"/>
      <w:outlineLvl w:val="1"/>
    </w:pPr>
    <w:rPr>
      <w:rFonts w:ascii="Palatino Linotype" w:eastAsia="Times New Roman" w:hAnsi="Palatino Linotype"/>
      <w:i/>
      <w:noProof/>
      <w:snapToGrid w:val="0"/>
      <w:color w:val="000000"/>
      <w:kern w:val="2"/>
      <w:szCs w:val="22"/>
      <w:lang w:eastAsia="de-DE" w:bidi="en-US"/>
      <w14:ligatures w14:val="standardContextual"/>
    </w:rPr>
  </w:style>
  <w:style w:type="paragraph" w:customStyle="1" w:styleId="MDPI71References">
    <w:name w:val="MDPI_7.1_References"/>
    <w:qFormat/>
    <w:rsid w:val="00922E38"/>
    <w:pPr>
      <w:numPr>
        <w:numId w:val="28"/>
      </w:numPr>
      <w:adjustRightInd w:val="0"/>
      <w:snapToGrid w:val="0"/>
      <w:spacing w:line="228" w:lineRule="auto"/>
      <w:jc w:val="both"/>
    </w:pPr>
    <w:rPr>
      <w:rFonts w:ascii="Palatino Linotype" w:eastAsia="Times New Roman" w:hAnsi="Palatino Linotype"/>
      <w:color w:val="000000"/>
      <w:kern w:val="2"/>
      <w:sz w:val="18"/>
      <w:lang w:eastAsia="de-DE" w:bidi="en-US"/>
      <w14:ligatures w14:val="standardContextual"/>
    </w:rPr>
  </w:style>
  <w:style w:type="paragraph" w:styleId="Textodeglobo">
    <w:name w:val="Balloon Text"/>
    <w:basedOn w:val="Normal"/>
    <w:link w:val="TextodegloboCar"/>
    <w:uiPriority w:val="99"/>
    <w:rsid w:val="00FE6943"/>
    <w:rPr>
      <w:rFonts w:cs="Tahoma"/>
      <w:szCs w:val="18"/>
    </w:rPr>
  </w:style>
  <w:style w:type="character" w:customStyle="1" w:styleId="TextodegloboCar">
    <w:name w:val="Texto de globo Car"/>
    <w:link w:val="Textodeglobo"/>
    <w:uiPriority w:val="99"/>
    <w:rsid w:val="00FE6943"/>
    <w:rPr>
      <w:rFonts w:ascii="Palatino Linotype" w:hAnsi="Palatino Linotype" w:cs="Tahoma"/>
      <w:noProof/>
      <w:color w:val="000000"/>
      <w:szCs w:val="18"/>
    </w:rPr>
  </w:style>
  <w:style w:type="character" w:styleId="Nmerodelnea">
    <w:name w:val="line number"/>
    <w:uiPriority w:val="99"/>
    <w:rsid w:val="00F20DC0"/>
    <w:rPr>
      <w:rFonts w:ascii="Palatino Linotype" w:hAnsi="Palatino Linotype"/>
      <w:sz w:val="16"/>
    </w:rPr>
  </w:style>
  <w:style w:type="table" w:customStyle="1" w:styleId="MDPI41threelinetable">
    <w:name w:val="MDPI_4.1_three_line_table"/>
    <w:basedOn w:val="Tablanormal"/>
    <w:uiPriority w:val="99"/>
    <w:rsid w:val="00922E38"/>
    <w:pPr>
      <w:adjustRightInd w:val="0"/>
      <w:snapToGrid w:val="0"/>
      <w:jc w:val="center"/>
    </w:pPr>
    <w:rPr>
      <w:rFonts w:ascii="Palatino Linotype" w:eastAsiaTheme="minorEastAsia" w:hAnsi="Palatino Linotype"/>
      <w:color w:val="000000"/>
      <w:kern w:val="2"/>
      <w14:ligatures w14:val="standardContextual"/>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vnculo">
    <w:name w:val="Hyperlink"/>
    <w:uiPriority w:val="99"/>
    <w:rsid w:val="00FE6943"/>
    <w:rPr>
      <w:color w:val="0000FF"/>
      <w:u w:val="single"/>
    </w:rPr>
  </w:style>
  <w:style w:type="character" w:customStyle="1" w:styleId="Mencinsinresolver1">
    <w:name w:val="Mención sin resolver1"/>
    <w:uiPriority w:val="99"/>
    <w:semiHidden/>
    <w:unhideWhenUsed/>
    <w:rsid w:val="0034278A"/>
    <w:rPr>
      <w:color w:val="605E5C"/>
      <w:shd w:val="clear" w:color="auto" w:fill="E1DFDD"/>
    </w:rPr>
  </w:style>
  <w:style w:type="table" w:styleId="Tablaconcuadrcula">
    <w:name w:val="Table Grid"/>
    <w:basedOn w:val="Tablanormal"/>
    <w:uiPriority w:val="39"/>
    <w:rsid w:val="00FE6943"/>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922E38"/>
    <w:pPr>
      <w:adjustRightInd w:val="0"/>
      <w:snapToGrid w:val="0"/>
      <w:spacing w:line="240" w:lineRule="atLeast"/>
      <w:ind w:right="113"/>
    </w:pPr>
    <w:rPr>
      <w:rFonts w:ascii="Palatino Linotype" w:hAnsi="Palatino Linotype" w:cs="Cordia New"/>
      <w:kern w:val="2"/>
      <w:sz w:val="14"/>
      <w:szCs w:val="22"/>
      <w14:ligatures w14:val="standardContextual"/>
    </w:rPr>
  </w:style>
  <w:style w:type="paragraph" w:customStyle="1" w:styleId="MDPI62BackMatter">
    <w:name w:val="MDPI_6.2_BackMatter"/>
    <w:qFormat/>
    <w:rsid w:val="00922E38"/>
    <w:pPr>
      <w:adjustRightInd w:val="0"/>
      <w:snapToGrid w:val="0"/>
      <w:spacing w:after="120" w:line="228" w:lineRule="auto"/>
      <w:ind w:left="2608"/>
      <w:jc w:val="both"/>
    </w:pPr>
    <w:rPr>
      <w:rFonts w:ascii="Palatino Linotype" w:eastAsia="Times New Roman" w:hAnsi="Palatino Linotype"/>
      <w:snapToGrid w:val="0"/>
      <w:color w:val="000000"/>
      <w:kern w:val="2"/>
      <w:sz w:val="18"/>
      <w:lang w:eastAsia="en-US" w:bidi="en-US"/>
      <w14:ligatures w14:val="standardContextual"/>
    </w:rPr>
  </w:style>
  <w:style w:type="paragraph" w:customStyle="1" w:styleId="MDPI63Notes">
    <w:name w:val="MDPI_6.3_Notes"/>
    <w:qFormat/>
    <w:rsid w:val="00922E38"/>
    <w:pPr>
      <w:adjustRightInd w:val="0"/>
      <w:snapToGrid w:val="0"/>
      <w:spacing w:before="240" w:line="228" w:lineRule="auto"/>
      <w:jc w:val="both"/>
    </w:pPr>
    <w:rPr>
      <w:rFonts w:ascii="Palatino Linotype" w:hAnsi="Palatino Linotype"/>
      <w:snapToGrid w:val="0"/>
      <w:color w:val="000000"/>
      <w:kern w:val="2"/>
      <w:sz w:val="18"/>
      <w:lang w:eastAsia="en-US" w:bidi="en-US"/>
      <w14:ligatures w14:val="standardContextual"/>
    </w:rPr>
  </w:style>
  <w:style w:type="paragraph" w:customStyle="1" w:styleId="MDPI15academiceditor">
    <w:name w:val="MDPI_1.5_academic_editor"/>
    <w:qFormat/>
    <w:rsid w:val="00922E38"/>
    <w:pPr>
      <w:adjustRightInd w:val="0"/>
      <w:snapToGrid w:val="0"/>
      <w:spacing w:before="120" w:line="240" w:lineRule="atLeast"/>
      <w:ind w:right="113"/>
    </w:pPr>
    <w:rPr>
      <w:rFonts w:ascii="Palatino Linotype" w:eastAsia="Times New Roman" w:hAnsi="Palatino Linotype"/>
      <w:color w:val="000000"/>
      <w:kern w:val="2"/>
      <w:sz w:val="14"/>
      <w:szCs w:val="22"/>
      <w:lang w:eastAsia="de-DE" w:bidi="en-US"/>
      <w14:ligatures w14:val="standardContextual"/>
    </w:rPr>
  </w:style>
  <w:style w:type="paragraph" w:customStyle="1" w:styleId="MDPI19classification">
    <w:name w:val="MDPI_1.9_classification"/>
    <w:qFormat/>
    <w:rsid w:val="00922E38"/>
    <w:pPr>
      <w:spacing w:before="240" w:line="260" w:lineRule="atLeast"/>
      <w:ind w:left="113"/>
      <w:jc w:val="both"/>
    </w:pPr>
    <w:rPr>
      <w:rFonts w:ascii="Palatino Linotype" w:eastAsia="Times New Roman" w:hAnsi="Palatino Linotype"/>
      <w:b/>
      <w:color w:val="000000"/>
      <w:kern w:val="2"/>
      <w:szCs w:val="22"/>
      <w:lang w:eastAsia="de-DE" w:bidi="en-US"/>
      <w14:ligatures w14:val="standardContextual"/>
    </w:rPr>
  </w:style>
  <w:style w:type="paragraph" w:customStyle="1" w:styleId="MDPI411onetablecaption">
    <w:name w:val="MDPI_4.1.1_one_table_caption"/>
    <w:qFormat/>
    <w:rsid w:val="00922E38"/>
    <w:pPr>
      <w:adjustRightInd w:val="0"/>
      <w:snapToGrid w:val="0"/>
      <w:spacing w:before="240" w:after="120" w:line="260" w:lineRule="atLeast"/>
      <w:jc w:val="center"/>
    </w:pPr>
    <w:rPr>
      <w:rFonts w:ascii="Palatino Linotype" w:eastAsiaTheme="minorEastAsia" w:hAnsi="Palatino Linotype" w:cstheme="minorBidi"/>
      <w:noProof/>
      <w:color w:val="000000"/>
      <w:kern w:val="2"/>
      <w:sz w:val="18"/>
      <w:szCs w:val="22"/>
      <w:lang w:bidi="en-US"/>
      <w14:ligatures w14:val="standardContextual"/>
    </w:rPr>
  </w:style>
  <w:style w:type="paragraph" w:customStyle="1" w:styleId="MDPI511onefigurecaption">
    <w:name w:val="MDPI_5.1.1_one_figure_caption"/>
    <w:qFormat/>
    <w:rsid w:val="00922E38"/>
    <w:pPr>
      <w:adjustRightInd w:val="0"/>
      <w:snapToGrid w:val="0"/>
      <w:spacing w:before="240" w:after="120" w:line="260" w:lineRule="atLeast"/>
      <w:jc w:val="center"/>
    </w:pPr>
    <w:rPr>
      <w:rFonts w:ascii="Palatino Linotype" w:eastAsiaTheme="minorEastAsia" w:hAnsi="Palatino Linotype"/>
      <w:noProof/>
      <w:color w:val="000000"/>
      <w:kern w:val="2"/>
      <w:sz w:val="18"/>
      <w:lang w:bidi="en-US"/>
      <w14:ligatures w14:val="standardContextual"/>
    </w:rPr>
  </w:style>
  <w:style w:type="paragraph" w:customStyle="1" w:styleId="MDPI72Copyright">
    <w:name w:val="MDPI_7.2_Copyright"/>
    <w:qFormat/>
    <w:rsid w:val="00922E38"/>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922E38"/>
    <w:pPr>
      <w:adjustRightInd w:val="0"/>
      <w:snapToGrid w:val="0"/>
      <w:spacing w:after="100" w:line="260" w:lineRule="atLeast"/>
      <w:jc w:val="right"/>
    </w:pPr>
    <w:rPr>
      <w:rFonts w:ascii="Palatino Linotype" w:eastAsia="Times New Roman" w:hAnsi="Palatino Linotype"/>
      <w:color w:val="000000"/>
      <w:kern w:val="2"/>
      <w:lang w:eastAsia="de-CH"/>
      <w14:ligatures w14:val="standardContextual"/>
    </w:rPr>
  </w:style>
  <w:style w:type="paragraph" w:customStyle="1" w:styleId="MDPIequationFram">
    <w:name w:val="MDPI_equationFram"/>
    <w:qFormat/>
    <w:rsid w:val="00922E38"/>
    <w:pPr>
      <w:adjustRightInd w:val="0"/>
      <w:snapToGrid w:val="0"/>
      <w:spacing w:before="120" w:after="120"/>
      <w:jc w:val="center"/>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footer">
    <w:name w:val="MDPI_footer"/>
    <w:qFormat/>
    <w:rsid w:val="00922E38"/>
    <w:pPr>
      <w:adjustRightInd w:val="0"/>
      <w:snapToGrid w:val="0"/>
      <w:spacing w:before="120" w:line="260" w:lineRule="atLeast"/>
      <w:jc w:val="center"/>
    </w:pPr>
    <w:rPr>
      <w:rFonts w:ascii="Palatino Linotype" w:eastAsia="Times New Roman" w:hAnsi="Palatino Linotype"/>
      <w:color w:val="000000"/>
      <w:kern w:val="2"/>
      <w:lang w:eastAsia="de-DE"/>
      <w14:ligatures w14:val="standardContextual"/>
    </w:rPr>
  </w:style>
  <w:style w:type="paragraph" w:customStyle="1" w:styleId="MDPIheader">
    <w:name w:val="MDPI_header"/>
    <w:qFormat/>
    <w:rsid w:val="00922E38"/>
    <w:pPr>
      <w:adjustRightInd w:val="0"/>
      <w:snapToGrid w:val="0"/>
      <w:spacing w:after="240" w:line="260" w:lineRule="atLeast"/>
      <w:jc w:val="both"/>
    </w:pPr>
    <w:rPr>
      <w:rFonts w:ascii="Palatino Linotype" w:eastAsia="Times New Roman" w:hAnsi="Palatino Linotype"/>
      <w:iCs/>
      <w:color w:val="000000"/>
      <w:kern w:val="2"/>
      <w:sz w:val="16"/>
      <w:lang w:eastAsia="de-DE"/>
      <w14:ligatures w14:val="standardContextual"/>
    </w:rPr>
  </w:style>
  <w:style w:type="paragraph" w:customStyle="1" w:styleId="MDPIheadercitation">
    <w:name w:val="MDPI_header_citation"/>
    <w:rsid w:val="00922E38"/>
    <w:pPr>
      <w:spacing w:after="240"/>
    </w:pPr>
    <w:rPr>
      <w:rFonts w:ascii="Palatino Linotype" w:eastAsia="Times New Roman" w:hAnsi="Palatino Linotype"/>
      <w:snapToGrid w:val="0"/>
      <w:color w:val="000000"/>
      <w:kern w:val="2"/>
      <w:sz w:val="18"/>
      <w:lang w:eastAsia="de-DE" w:bidi="en-US"/>
      <w14:ligatures w14:val="standardContextual"/>
    </w:rPr>
  </w:style>
  <w:style w:type="paragraph" w:customStyle="1" w:styleId="MDPIheadermdpilogo">
    <w:name w:val="MDPI_header_mdpi_logo"/>
    <w:qFormat/>
    <w:rsid w:val="00922E38"/>
    <w:pPr>
      <w:adjustRightInd w:val="0"/>
      <w:snapToGrid w:val="0"/>
      <w:spacing w:line="260" w:lineRule="atLeast"/>
      <w:jc w:val="right"/>
    </w:pPr>
    <w:rPr>
      <w:rFonts w:ascii="Palatino Linotype" w:eastAsia="Times New Roman" w:hAnsi="Palatino Linotype"/>
      <w:color w:val="000000"/>
      <w:kern w:val="2"/>
      <w:sz w:val="24"/>
      <w:szCs w:val="22"/>
      <w:lang w:eastAsia="de-CH"/>
      <w14:ligatures w14:val="standardContextual"/>
    </w:rPr>
  </w:style>
  <w:style w:type="table" w:customStyle="1" w:styleId="MDPITable">
    <w:name w:val="MDPI_Table"/>
    <w:basedOn w:val="Tablanormal"/>
    <w:uiPriority w:val="99"/>
    <w:rsid w:val="00922E38"/>
    <w:rPr>
      <w:rFonts w:ascii="Palatino Linotype" w:hAnsi="Palatino Linotype"/>
      <w:color w:val="000000" w:themeColor="text1"/>
      <w:kern w:val="2"/>
      <w:lang w:val="en-CA" w:eastAsia="en-US"/>
      <w14:ligatures w14:val="standardContextual"/>
    </w:rPr>
    <w:tblPr>
      <w:tblCellMar>
        <w:left w:w="0" w:type="dxa"/>
        <w:right w:w="0" w:type="dxa"/>
      </w:tblCellMar>
    </w:tblPr>
  </w:style>
  <w:style w:type="paragraph" w:customStyle="1" w:styleId="MDPItext">
    <w:name w:val="MDPI_text"/>
    <w:qFormat/>
    <w:rsid w:val="00922E38"/>
    <w:pPr>
      <w:spacing w:line="260" w:lineRule="atLeast"/>
      <w:ind w:left="425" w:right="425" w:firstLine="284"/>
      <w:jc w:val="both"/>
    </w:pPr>
    <w:rPr>
      <w:rFonts w:ascii="Times New Roman" w:eastAsia="Times New Roman" w:hAnsi="Times New Roman"/>
      <w:noProof/>
      <w:snapToGrid w:val="0"/>
      <w:color w:val="000000"/>
      <w:kern w:val="2"/>
      <w:sz w:val="22"/>
      <w:szCs w:val="22"/>
      <w:lang w:eastAsia="de-DE" w:bidi="en-US"/>
      <w14:ligatures w14:val="standardContextual"/>
    </w:rPr>
  </w:style>
  <w:style w:type="paragraph" w:customStyle="1" w:styleId="MDPItitle">
    <w:name w:val="MDPI_title"/>
    <w:qFormat/>
    <w:rsid w:val="00922E38"/>
    <w:pPr>
      <w:adjustRightInd w:val="0"/>
      <w:snapToGrid w:val="0"/>
      <w:spacing w:after="240" w:line="260" w:lineRule="atLeast"/>
      <w:jc w:val="both"/>
    </w:pPr>
    <w:rPr>
      <w:rFonts w:ascii="Palatino Linotype" w:eastAsia="Times New Roman" w:hAnsi="Palatino Linotype"/>
      <w:b/>
      <w:snapToGrid w:val="0"/>
      <w:color w:val="000000"/>
      <w:kern w:val="2"/>
      <w:sz w:val="36"/>
      <w:lang w:eastAsia="de-DE" w:bidi="en-US"/>
      <w14:ligatures w14:val="standardContextual"/>
    </w:rPr>
  </w:style>
  <w:style w:type="character" w:customStyle="1" w:styleId="apple-converted-space">
    <w:name w:val="apple-converted-space"/>
    <w:rsid w:val="00FE6943"/>
  </w:style>
  <w:style w:type="paragraph" w:styleId="Bibliografa">
    <w:name w:val="Bibliography"/>
    <w:basedOn w:val="Normal"/>
    <w:next w:val="Normal"/>
    <w:uiPriority w:val="37"/>
    <w:semiHidden/>
    <w:unhideWhenUsed/>
    <w:rsid w:val="00FE6943"/>
  </w:style>
  <w:style w:type="paragraph" w:styleId="Textoindependiente">
    <w:name w:val="Body Text"/>
    <w:link w:val="TextoindependienteCar"/>
    <w:rsid w:val="00FE6943"/>
    <w:pPr>
      <w:spacing w:after="120" w:line="340" w:lineRule="atLeast"/>
      <w:jc w:val="both"/>
    </w:pPr>
    <w:rPr>
      <w:rFonts w:ascii="Palatino Linotype" w:hAnsi="Palatino Linotype"/>
      <w:color w:val="000000"/>
      <w:sz w:val="24"/>
      <w:lang w:eastAsia="de-DE"/>
    </w:rPr>
  </w:style>
  <w:style w:type="character" w:customStyle="1" w:styleId="TextoindependienteCar">
    <w:name w:val="Texto independiente Car"/>
    <w:link w:val="Textoindependiente"/>
    <w:rsid w:val="00FE6943"/>
    <w:rPr>
      <w:rFonts w:ascii="Palatino Linotype" w:hAnsi="Palatino Linotype"/>
      <w:color w:val="000000"/>
      <w:sz w:val="24"/>
      <w:lang w:eastAsia="de-DE"/>
    </w:rPr>
  </w:style>
  <w:style w:type="character" w:styleId="Refdecomentario">
    <w:name w:val="annotation reference"/>
    <w:rsid w:val="00FE6943"/>
    <w:rPr>
      <w:sz w:val="21"/>
      <w:szCs w:val="21"/>
    </w:rPr>
  </w:style>
  <w:style w:type="paragraph" w:styleId="Textocomentario">
    <w:name w:val="annotation text"/>
    <w:basedOn w:val="Normal"/>
    <w:link w:val="TextocomentarioCar"/>
    <w:qFormat/>
    <w:rsid w:val="00FE6943"/>
  </w:style>
  <w:style w:type="character" w:customStyle="1" w:styleId="TextocomentarioCar">
    <w:name w:val="Texto comentario Car"/>
    <w:link w:val="Textocomentario"/>
    <w:rsid w:val="00FE6943"/>
    <w:rPr>
      <w:rFonts w:ascii="Palatino Linotype" w:hAnsi="Palatino Linotype"/>
      <w:noProof/>
      <w:color w:val="000000"/>
    </w:rPr>
  </w:style>
  <w:style w:type="paragraph" w:styleId="Asuntodelcomentario">
    <w:name w:val="annotation subject"/>
    <w:basedOn w:val="Textocomentario"/>
    <w:next w:val="Textocomentario"/>
    <w:link w:val="AsuntodelcomentarioCar"/>
    <w:rsid w:val="00FE6943"/>
    <w:rPr>
      <w:b/>
      <w:bCs/>
    </w:rPr>
  </w:style>
  <w:style w:type="character" w:customStyle="1" w:styleId="AsuntodelcomentarioCar">
    <w:name w:val="Asunto del comentario Car"/>
    <w:link w:val="Asuntodelcomentario"/>
    <w:rsid w:val="00FE6943"/>
    <w:rPr>
      <w:rFonts w:ascii="Palatino Linotype" w:hAnsi="Palatino Linotype"/>
      <w:b/>
      <w:bCs/>
      <w:noProof/>
      <w:color w:val="000000"/>
    </w:rPr>
  </w:style>
  <w:style w:type="character" w:styleId="Refdenotaalfinal">
    <w:name w:val="endnote reference"/>
    <w:rsid w:val="00FE6943"/>
    <w:rPr>
      <w:vertAlign w:val="superscript"/>
    </w:rPr>
  </w:style>
  <w:style w:type="paragraph" w:styleId="Textonotaalfinal">
    <w:name w:val="endnote text"/>
    <w:basedOn w:val="Normal"/>
    <w:link w:val="TextonotaalfinalCar"/>
    <w:semiHidden/>
    <w:unhideWhenUsed/>
    <w:rsid w:val="00FE6943"/>
    <w:pPr>
      <w:spacing w:line="240" w:lineRule="auto"/>
    </w:pPr>
  </w:style>
  <w:style w:type="character" w:customStyle="1" w:styleId="TextonotaalfinalCar">
    <w:name w:val="Texto nota al final Car"/>
    <w:link w:val="Textonotaalfinal"/>
    <w:semiHidden/>
    <w:rsid w:val="00FE6943"/>
    <w:rPr>
      <w:rFonts w:ascii="Palatino Linotype" w:hAnsi="Palatino Linotype"/>
      <w:noProof/>
      <w:color w:val="000000"/>
    </w:rPr>
  </w:style>
  <w:style w:type="character" w:styleId="Hipervnculovisitado">
    <w:name w:val="FollowedHyperlink"/>
    <w:rsid w:val="00FE6943"/>
    <w:rPr>
      <w:color w:val="954F72"/>
      <w:u w:val="single"/>
    </w:rPr>
  </w:style>
  <w:style w:type="paragraph" w:styleId="Textonotapie">
    <w:name w:val="footnote text"/>
    <w:basedOn w:val="Normal"/>
    <w:link w:val="TextonotapieCar"/>
    <w:semiHidden/>
    <w:unhideWhenUsed/>
    <w:rsid w:val="00FE6943"/>
    <w:pPr>
      <w:spacing w:line="240" w:lineRule="auto"/>
    </w:pPr>
  </w:style>
  <w:style w:type="character" w:customStyle="1" w:styleId="TextonotapieCar">
    <w:name w:val="Texto nota pie Car"/>
    <w:link w:val="Textonotapie"/>
    <w:semiHidden/>
    <w:rsid w:val="00FE6943"/>
    <w:rPr>
      <w:rFonts w:ascii="Palatino Linotype" w:hAnsi="Palatino Linotype"/>
      <w:noProof/>
      <w:color w:val="000000"/>
    </w:rPr>
  </w:style>
  <w:style w:type="paragraph" w:styleId="NormalWeb">
    <w:name w:val="Normal (Web)"/>
    <w:basedOn w:val="Normal"/>
    <w:uiPriority w:val="99"/>
    <w:rsid w:val="00FE6943"/>
    <w:rPr>
      <w:szCs w:val="24"/>
    </w:rPr>
  </w:style>
  <w:style w:type="paragraph" w:customStyle="1" w:styleId="MsoFootnoteText0">
    <w:name w:val="MsoFootnoteText"/>
    <w:basedOn w:val="NormalWeb"/>
    <w:qFormat/>
    <w:rsid w:val="00FE6943"/>
    <w:rPr>
      <w:rFonts w:ascii="Times New Roman" w:hAnsi="Times New Roman"/>
    </w:rPr>
  </w:style>
  <w:style w:type="character" w:styleId="Nmerodepgina">
    <w:name w:val="page number"/>
    <w:rsid w:val="00FE6943"/>
  </w:style>
  <w:style w:type="character" w:styleId="Textodelmarcadordeposicin">
    <w:name w:val="Placeholder Text"/>
    <w:uiPriority w:val="99"/>
    <w:semiHidden/>
    <w:rsid w:val="00FE6943"/>
    <w:rPr>
      <w:color w:val="808080"/>
    </w:rPr>
  </w:style>
  <w:style w:type="paragraph" w:customStyle="1" w:styleId="MDPI71FootNotes">
    <w:name w:val="MDPI_7.1_FootNotes"/>
    <w:qFormat/>
    <w:rsid w:val="00922E38"/>
    <w:pPr>
      <w:numPr>
        <w:numId w:val="29"/>
      </w:numPr>
      <w:adjustRightInd w:val="0"/>
      <w:snapToGrid w:val="0"/>
      <w:spacing w:line="228" w:lineRule="auto"/>
    </w:pPr>
    <w:rPr>
      <w:rFonts w:ascii="Palatino Linotype" w:eastAsiaTheme="minorEastAsia" w:hAnsi="Palatino Linotype"/>
      <w:noProof/>
      <w:color w:val="000000"/>
      <w:kern w:val="2"/>
      <w:sz w:val="18"/>
      <w14:ligatures w14:val="standardContextual"/>
    </w:rPr>
  </w:style>
  <w:style w:type="character" w:customStyle="1" w:styleId="Mencinsinresolver10">
    <w:name w:val="Mención sin resolver1"/>
    <w:uiPriority w:val="99"/>
    <w:semiHidden/>
    <w:unhideWhenUsed/>
    <w:rsid w:val="00FB785E"/>
    <w:rPr>
      <w:color w:val="605E5C"/>
      <w:shd w:val="clear" w:color="auto" w:fill="E1DFDD"/>
    </w:rPr>
  </w:style>
  <w:style w:type="paragraph" w:styleId="Mapadeldocumento">
    <w:name w:val="Document Map"/>
    <w:basedOn w:val="Normal"/>
    <w:link w:val="MapadeldocumentoCar"/>
    <w:uiPriority w:val="99"/>
    <w:semiHidden/>
    <w:unhideWhenUsed/>
    <w:rsid w:val="00FB785E"/>
    <w:pPr>
      <w:spacing w:line="240" w:lineRule="auto"/>
    </w:pPr>
    <w:rPr>
      <w:rFonts w:ascii="Times New Roman" w:hAnsi="Times New Roman"/>
      <w:sz w:val="24"/>
      <w:szCs w:val="24"/>
    </w:rPr>
  </w:style>
  <w:style w:type="character" w:customStyle="1" w:styleId="MapadeldocumentoCar">
    <w:name w:val="Mapa del documento Car"/>
    <w:basedOn w:val="Fuentedeprrafopredeter"/>
    <w:link w:val="Mapadeldocumento"/>
    <w:uiPriority w:val="99"/>
    <w:semiHidden/>
    <w:rsid w:val="00FB785E"/>
    <w:rPr>
      <w:rFonts w:ascii="Times New Roman" w:hAnsi="Times New Roman"/>
      <w:color w:val="000000"/>
      <w:sz w:val="24"/>
      <w:szCs w:val="24"/>
    </w:rPr>
  </w:style>
  <w:style w:type="paragraph" w:styleId="Revisin">
    <w:name w:val="Revision"/>
    <w:hidden/>
    <w:uiPriority w:val="99"/>
    <w:semiHidden/>
    <w:rsid w:val="00FB785E"/>
    <w:rPr>
      <w:rFonts w:ascii="Palatino Linotype" w:hAnsi="Palatino Linotype"/>
      <w:noProof/>
      <w:color w:val="000000"/>
    </w:rPr>
  </w:style>
  <w:style w:type="table" w:customStyle="1" w:styleId="Tablaconcuadrcula1">
    <w:name w:val="Tabla con cuadrícula1"/>
    <w:basedOn w:val="Tablanormal"/>
    <w:next w:val="Tablaconcuadrcula"/>
    <w:uiPriority w:val="39"/>
    <w:rsid w:val="00FB785E"/>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Fuentedeprrafopredeter"/>
    <w:rsid w:val="00DC0E6D"/>
  </w:style>
  <w:style w:type="character" w:customStyle="1" w:styleId="accordion-tabbedtab-mobile">
    <w:name w:val="accordion-tabbed__tab-mobile"/>
    <w:basedOn w:val="Fuentedeprrafopredeter"/>
    <w:rsid w:val="00DC0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8578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Word%20templates\jc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C:\Users\MDPI\Desktop\Word templates\jcm-template.dot</Template>
  <TotalTime>11</TotalTime>
  <Pages>15</Pages>
  <Words>8002</Words>
  <Characters>44016</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Type of the Paper (Article</vt:lpstr>
    </vt:vector>
  </TitlesOfParts>
  <Company/>
  <LinksUpToDate>false</LinksUpToDate>
  <CharactersWithSpaces>51915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ROSA MARIA COCO MARTIN</cp:lastModifiedBy>
  <cp:revision>3</cp:revision>
  <cp:lastPrinted>2023-03-17T12:36:00Z</cp:lastPrinted>
  <dcterms:created xsi:type="dcterms:W3CDTF">2023-03-18T19:33:00Z</dcterms:created>
  <dcterms:modified xsi:type="dcterms:W3CDTF">2023-03-19T10:12:00Z</dcterms:modified>
</cp:coreProperties>
</file>