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857B" w14:textId="77777777" w:rsidR="002227A8" w:rsidRDefault="002227A8" w:rsidP="002227A8">
      <w:pPr>
        <w:pStyle w:val="NormalWeb"/>
        <w:spacing w:line="480" w:lineRule="auto"/>
      </w:pPr>
      <w:r>
        <w:rPr>
          <w:rStyle w:val="Textoennegrita"/>
        </w:rPr>
        <w:t>UVaDOC Repository Deposit Cover Sheet</w:t>
      </w:r>
    </w:p>
    <w:p w14:paraId="2FF49A7F" w14:textId="77777777" w:rsidR="002227A8" w:rsidRDefault="002227A8" w:rsidP="002227A8">
      <w:pPr>
        <w:pStyle w:val="NormalWeb"/>
        <w:spacing w:line="480" w:lineRule="auto"/>
      </w:pPr>
      <w:r>
        <w:rPr>
          <w:rStyle w:val="Textoennegrita"/>
        </w:rPr>
        <w:t>Manuscript version:</w:t>
      </w:r>
      <w:r>
        <w:t xml:space="preserve"> Author Accepted Manuscript (AAM) / Postprint</w:t>
      </w:r>
    </w:p>
    <w:p w14:paraId="55D7D9AB" w14:textId="77777777" w:rsidR="002227A8" w:rsidRDefault="002227A8" w:rsidP="002227A8">
      <w:pPr>
        <w:pStyle w:val="NormalWeb"/>
        <w:spacing w:line="480" w:lineRule="auto"/>
      </w:pPr>
      <w:r>
        <w:rPr>
          <w:rStyle w:val="Textoennegrita"/>
        </w:rPr>
        <w:t>Title:</w:t>
      </w:r>
      <w:r>
        <w:t xml:space="preserve"> Burnout in social workers and socio-demographic factors</w:t>
      </w:r>
    </w:p>
    <w:p w14:paraId="54C665AA" w14:textId="77777777" w:rsidR="002227A8" w:rsidRDefault="002227A8" w:rsidP="002227A8">
      <w:pPr>
        <w:pStyle w:val="NormalWeb"/>
        <w:spacing w:line="480" w:lineRule="auto"/>
      </w:pPr>
      <w:r>
        <w:rPr>
          <w:rStyle w:val="Textoennegrita"/>
        </w:rPr>
        <w:t>Authors:</w:t>
      </w:r>
      <w:r>
        <w:t xml:space="preserve"> Rogelio Gómez-García; Manuel Alonso-Sangregorio; María Luisa Llamazares-Sánchez</w:t>
      </w:r>
    </w:p>
    <w:p w14:paraId="5A36FDDA" w14:textId="77777777" w:rsidR="002227A8" w:rsidRDefault="002227A8" w:rsidP="002227A8">
      <w:pPr>
        <w:pStyle w:val="NormalWeb"/>
        <w:spacing w:line="480" w:lineRule="auto"/>
      </w:pPr>
      <w:r>
        <w:rPr>
          <w:rStyle w:val="Textoennegrita"/>
        </w:rPr>
        <w:t>Affiliation:</w:t>
      </w:r>
      <w:r>
        <w:t xml:space="preserve"> University of Valladolid (Spain)</w:t>
      </w:r>
    </w:p>
    <w:p w14:paraId="0AB57EE6" w14:textId="77777777" w:rsidR="002227A8" w:rsidRDefault="002227A8" w:rsidP="002227A8">
      <w:pPr>
        <w:pStyle w:val="NormalWeb"/>
        <w:spacing w:line="480" w:lineRule="auto"/>
      </w:pPr>
      <w:r>
        <w:rPr>
          <w:rStyle w:val="Textoennegrita"/>
        </w:rPr>
        <w:t>Citation of the published Version of Record (VoR):</w:t>
      </w:r>
      <w:r>
        <w:br/>
        <w:t xml:space="preserve">Gómez-García, R., Alonso-Sangregorio, M., &amp; Llamazares-Sánchez, M. L. (2020). </w:t>
      </w:r>
      <w:r>
        <w:rPr>
          <w:rStyle w:val="nfasis"/>
        </w:rPr>
        <w:t>Burnout in social workers and socio-demographic factors</w:t>
      </w:r>
      <w:r>
        <w:t xml:space="preserve">. </w:t>
      </w:r>
      <w:r>
        <w:rPr>
          <w:rStyle w:val="nfasis"/>
        </w:rPr>
        <w:t>Journal of Social Work, 20</w:t>
      </w:r>
      <w:r>
        <w:t>(4), 463–482. Copyright © 2020 (The Authors). DOI: 10.1177/1468017319837886.</w:t>
      </w:r>
    </w:p>
    <w:p w14:paraId="6FD1E3D7" w14:textId="77777777" w:rsidR="002227A8" w:rsidRDefault="002227A8" w:rsidP="002227A8">
      <w:pPr>
        <w:pStyle w:val="NormalWeb"/>
        <w:spacing w:line="480" w:lineRule="auto"/>
      </w:pPr>
      <w:r>
        <w:rPr>
          <w:rStyle w:val="Textoennegrita"/>
        </w:rPr>
        <w:t>DOI / Link to Version of Record:</w:t>
      </w:r>
      <w:r>
        <w:t xml:space="preserve"> </w:t>
      </w:r>
      <w:hyperlink r:id="rId7" w:tgtFrame="_new" w:history="1">
        <w:r>
          <w:rPr>
            <w:rStyle w:val="Hipervnculo"/>
          </w:rPr>
          <w:t>https://doi.org/10.1177/1468017319837886</w:t>
        </w:r>
      </w:hyperlink>
    </w:p>
    <w:p w14:paraId="621EA856" w14:textId="77777777" w:rsidR="002227A8" w:rsidRDefault="002227A8" w:rsidP="002227A8">
      <w:pPr>
        <w:pStyle w:val="NormalWeb"/>
        <w:spacing w:line="480" w:lineRule="auto"/>
      </w:pPr>
      <w:r>
        <w:rPr>
          <w:rStyle w:val="Textoennegrita"/>
        </w:rPr>
        <w:t>Rights and re-use (SAGE – required conditions):</w:t>
      </w:r>
      <w:r>
        <w:br/>
        <w:t xml:space="preserve">This is the Author Accepted Manuscript (AAM) / postprint of an article accepted for publication in </w:t>
      </w:r>
      <w:r>
        <w:rPr>
          <w:rStyle w:val="nfasis"/>
        </w:rPr>
        <w:t>Journal of Social Work</w:t>
      </w:r>
      <w:r>
        <w:t>. The published Version of Record is available via the DOI above. The published source must be acknowledged and linked to the publisher’s version with the DOI. Re-use of this manuscript is restricted to non-commercial purposes and no derivative works. Please cite the published version.</w:t>
      </w:r>
    </w:p>
    <w:p w14:paraId="4D2CE766" w14:textId="77777777" w:rsidR="002227A8" w:rsidRDefault="002227A8" w:rsidP="002227A8">
      <w:pPr>
        <w:pStyle w:val="NormalWeb"/>
        <w:spacing w:line="480" w:lineRule="auto"/>
      </w:pPr>
      <w:r>
        <w:rPr>
          <w:rStyle w:val="Textoennegrita"/>
        </w:rPr>
        <w:t>Embargo:</w:t>
      </w:r>
      <w:r>
        <w:t xml:space="preserve"> None</w:t>
      </w:r>
    </w:p>
    <w:p w14:paraId="4E3AD6B9" w14:textId="77777777" w:rsidR="00434495" w:rsidRDefault="00434495">
      <w:pPr>
        <w:spacing w:after="0" w:line="360" w:lineRule="auto"/>
        <w:rPr>
          <w:rFonts w:ascii="Times New Roman" w:eastAsia="Times New Roman" w:hAnsi="Times New Roman" w:cs="Times New Roman"/>
          <w:b/>
          <w:color w:val="000000" w:themeColor="text1"/>
          <w:sz w:val="28"/>
          <w:szCs w:val="28"/>
        </w:rPr>
      </w:pPr>
    </w:p>
    <w:p w14:paraId="0D9F68C2" w14:textId="77777777" w:rsidR="00434495" w:rsidRDefault="00434495">
      <w:pPr>
        <w:spacing w:after="0" w:line="360" w:lineRule="auto"/>
        <w:rPr>
          <w:rFonts w:ascii="Times New Roman" w:eastAsia="Times New Roman" w:hAnsi="Times New Roman" w:cs="Times New Roman"/>
          <w:b/>
          <w:color w:val="000000" w:themeColor="text1"/>
          <w:sz w:val="28"/>
          <w:szCs w:val="28"/>
        </w:rPr>
      </w:pPr>
    </w:p>
    <w:p w14:paraId="0294416D" w14:textId="77777777" w:rsidR="00434495" w:rsidRDefault="00434495">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14:paraId="61548F64" w14:textId="184AA478" w:rsidR="00EB56D6" w:rsidRPr="00AA67B0" w:rsidRDefault="007A55D8">
      <w:pPr>
        <w:spacing w:after="0" w:line="360" w:lineRule="auto"/>
        <w:rPr>
          <w:rFonts w:ascii="Times New Roman" w:eastAsia="Times New Roman" w:hAnsi="Times New Roman" w:cs="Times New Roman"/>
          <w:b/>
          <w:color w:val="000000" w:themeColor="text1"/>
          <w:sz w:val="28"/>
          <w:szCs w:val="28"/>
        </w:rPr>
      </w:pPr>
      <w:r w:rsidRPr="00AA67B0">
        <w:rPr>
          <w:rFonts w:ascii="Times New Roman" w:eastAsia="Times New Roman" w:hAnsi="Times New Roman" w:cs="Times New Roman"/>
          <w:b/>
          <w:color w:val="000000" w:themeColor="text1"/>
          <w:sz w:val="28"/>
          <w:szCs w:val="28"/>
        </w:rPr>
        <w:lastRenderedPageBreak/>
        <w:t>Burnout in social workers and socio-demographic factors</w:t>
      </w:r>
    </w:p>
    <w:p w14:paraId="040DEC2A" w14:textId="77777777" w:rsidR="00EB56D6" w:rsidRPr="00AA67B0" w:rsidRDefault="00EB56D6">
      <w:pPr>
        <w:spacing w:after="0" w:line="360" w:lineRule="auto"/>
        <w:rPr>
          <w:rFonts w:ascii="Times New Roman" w:eastAsia="Times New Roman" w:hAnsi="Times New Roman" w:cs="Times New Roman"/>
          <w:b/>
          <w:color w:val="000000" w:themeColor="text1"/>
          <w:sz w:val="24"/>
          <w:szCs w:val="24"/>
        </w:rPr>
      </w:pPr>
    </w:p>
    <w:p w14:paraId="2529ABE6" w14:textId="77777777" w:rsidR="00EB56D6" w:rsidRPr="00AA67B0" w:rsidRDefault="004D1F5E">
      <w:pPr>
        <w:spacing w:after="0" w:line="360" w:lineRule="auto"/>
        <w:rPr>
          <w:rFonts w:ascii="Times New Roman" w:eastAsia="Times New Roman" w:hAnsi="Times New Roman" w:cs="Times New Roman"/>
          <w:b/>
          <w:color w:val="000000" w:themeColor="text1"/>
          <w:sz w:val="24"/>
          <w:szCs w:val="24"/>
        </w:rPr>
      </w:pPr>
      <w:r w:rsidRPr="00AA67B0">
        <w:rPr>
          <w:rFonts w:ascii="Times New Roman" w:eastAsia="Times New Roman" w:hAnsi="Times New Roman" w:cs="Times New Roman"/>
          <w:b/>
          <w:color w:val="000000" w:themeColor="text1"/>
          <w:sz w:val="24"/>
          <w:szCs w:val="24"/>
        </w:rPr>
        <w:t xml:space="preserve">Abstract </w:t>
      </w:r>
    </w:p>
    <w:p w14:paraId="4AB46993" w14:textId="77777777" w:rsidR="00EB56D6" w:rsidRPr="00AA67B0" w:rsidRDefault="00EB56D6">
      <w:pPr>
        <w:spacing w:after="0" w:line="360" w:lineRule="auto"/>
        <w:rPr>
          <w:rFonts w:ascii="Times New Roman" w:eastAsia="Times New Roman" w:hAnsi="Times New Roman" w:cs="Times New Roman"/>
          <w:b/>
          <w:color w:val="000000" w:themeColor="text1"/>
          <w:sz w:val="24"/>
          <w:szCs w:val="24"/>
        </w:rPr>
      </w:pPr>
    </w:p>
    <w:p w14:paraId="06431023" w14:textId="77777777" w:rsidR="00EB56D6" w:rsidRPr="00AA67B0" w:rsidRDefault="004D1F5E">
      <w:pPr>
        <w:tabs>
          <w:tab w:val="left" w:pos="284"/>
        </w:tabs>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b/>
          <w:i/>
          <w:color w:val="000000" w:themeColor="text1"/>
          <w:sz w:val="24"/>
          <w:szCs w:val="24"/>
        </w:rPr>
        <w:t>Summary</w:t>
      </w:r>
      <w:r w:rsidRPr="00AA67B0">
        <w:rPr>
          <w:rFonts w:ascii="Times New Roman" w:eastAsia="Times New Roman" w:hAnsi="Times New Roman" w:cs="Times New Roman"/>
          <w:color w:val="000000" w:themeColor="text1"/>
          <w:sz w:val="24"/>
          <w:szCs w:val="24"/>
        </w:rPr>
        <w:t xml:space="preserve">: The objectives of this study were to estimate the prevalence of burnout syndrome in a sample of Spanish social workers and analyse the influence of a series of socio-demographic variables that may potentially be related to the appearance and development of one of the three dimensions of burnout. A total of 947 Spanish social workers participated in the study. </w:t>
      </w:r>
    </w:p>
    <w:p w14:paraId="55CEB920" w14:textId="77777777" w:rsidR="00EB56D6" w:rsidRPr="00AA67B0" w:rsidRDefault="00EB56D6">
      <w:pPr>
        <w:tabs>
          <w:tab w:val="left" w:pos="284"/>
        </w:tabs>
        <w:spacing w:after="0" w:line="360" w:lineRule="auto"/>
        <w:rPr>
          <w:rFonts w:ascii="Times New Roman" w:eastAsia="Times New Roman" w:hAnsi="Times New Roman" w:cs="Times New Roman"/>
          <w:color w:val="000000" w:themeColor="text1"/>
          <w:sz w:val="24"/>
          <w:szCs w:val="24"/>
        </w:rPr>
      </w:pPr>
    </w:p>
    <w:p w14:paraId="76A0D31E" w14:textId="6CFD83C2" w:rsidR="00EB56D6" w:rsidRPr="00AA67B0" w:rsidRDefault="004D1F5E">
      <w:pPr>
        <w:tabs>
          <w:tab w:val="left" w:pos="284"/>
        </w:tabs>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b/>
          <w:i/>
          <w:color w:val="000000" w:themeColor="text1"/>
          <w:sz w:val="24"/>
          <w:szCs w:val="24"/>
        </w:rPr>
        <w:t>Findings</w:t>
      </w:r>
      <w:r w:rsidRPr="00AA67B0">
        <w:rPr>
          <w:rFonts w:ascii="Times New Roman" w:eastAsia="Times New Roman" w:hAnsi="Times New Roman" w:cs="Times New Roman"/>
          <w:color w:val="000000" w:themeColor="text1"/>
          <w:sz w:val="24"/>
          <w:szCs w:val="24"/>
        </w:rPr>
        <w:t>:</w:t>
      </w:r>
      <w:r w:rsidR="00DD3384" w:rsidRPr="00AA67B0">
        <w:rPr>
          <w:rFonts w:ascii="Times New Roman" w:eastAsia="Times New Roman" w:hAnsi="Times New Roman" w:cs="Times New Roman"/>
          <w:color w:val="000000" w:themeColor="text1"/>
          <w:sz w:val="24"/>
          <w:szCs w:val="24"/>
        </w:rPr>
        <w:t xml:space="preserve"> </w:t>
      </w:r>
      <w:r w:rsidRPr="00AA67B0">
        <w:rPr>
          <w:rFonts w:ascii="Times New Roman" w:eastAsia="Times New Roman" w:hAnsi="Times New Roman" w:cs="Times New Roman"/>
          <w:color w:val="000000" w:themeColor="text1"/>
          <w:sz w:val="24"/>
          <w:szCs w:val="24"/>
        </w:rPr>
        <w:t xml:space="preserve">33.2% and 22.1% of Spanish social workers experienced high levels of </w:t>
      </w:r>
      <w:r w:rsidR="001C2334" w:rsidRPr="00AA67B0">
        <w:rPr>
          <w:rFonts w:ascii="Times New Roman" w:eastAsia="Times New Roman" w:hAnsi="Times New Roman" w:cs="Times New Roman"/>
          <w:color w:val="000000" w:themeColor="text1"/>
          <w:sz w:val="24"/>
          <w:szCs w:val="24"/>
          <w:lang w:val="en-US"/>
        </w:rPr>
        <w:t>emotional exhaustion</w:t>
      </w:r>
      <w:r w:rsidR="001C2334" w:rsidRPr="00AA67B0">
        <w:rPr>
          <w:rFonts w:ascii="Times New Roman" w:eastAsia="Times New Roman" w:hAnsi="Times New Roman" w:cs="Times New Roman"/>
          <w:color w:val="000000" w:themeColor="text1"/>
          <w:sz w:val="24"/>
          <w:szCs w:val="24"/>
        </w:rPr>
        <w:t xml:space="preserve"> (</w:t>
      </w:r>
      <w:r w:rsidRPr="00AA67B0">
        <w:rPr>
          <w:rFonts w:ascii="Times New Roman" w:eastAsia="Times New Roman" w:hAnsi="Times New Roman" w:cs="Times New Roman"/>
          <w:color w:val="000000" w:themeColor="text1"/>
          <w:sz w:val="24"/>
          <w:szCs w:val="24"/>
        </w:rPr>
        <w:t>EE</w:t>
      </w:r>
      <w:r w:rsidR="001C2334"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and </w:t>
      </w:r>
      <w:r w:rsidR="001C2334" w:rsidRPr="00AA67B0">
        <w:rPr>
          <w:rFonts w:ascii="Times New Roman" w:eastAsia="Times New Roman" w:hAnsi="Times New Roman" w:cs="Times New Roman"/>
          <w:color w:val="000000" w:themeColor="text1"/>
          <w:sz w:val="24"/>
          <w:szCs w:val="24"/>
          <w:lang w:val="en-US"/>
        </w:rPr>
        <w:t>depersonalisation (</w:t>
      </w:r>
      <w:r w:rsidRPr="00AA67B0">
        <w:rPr>
          <w:rFonts w:ascii="Times New Roman" w:eastAsia="Times New Roman" w:hAnsi="Times New Roman" w:cs="Times New Roman"/>
          <w:color w:val="000000" w:themeColor="text1"/>
          <w:sz w:val="24"/>
          <w:szCs w:val="24"/>
        </w:rPr>
        <w:t>DP</w:t>
      </w:r>
      <w:r w:rsidR="001C2334"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and 54.2% experienced low </w:t>
      </w:r>
      <w:r w:rsidR="001C2334" w:rsidRPr="00AA67B0">
        <w:rPr>
          <w:rFonts w:ascii="Times New Roman" w:eastAsia="Times New Roman" w:hAnsi="Times New Roman" w:cs="Times New Roman"/>
          <w:color w:val="000000" w:themeColor="text1"/>
          <w:sz w:val="24"/>
          <w:szCs w:val="24"/>
          <w:lang w:val="en-US"/>
        </w:rPr>
        <w:t>personal accomplishment (</w:t>
      </w:r>
      <w:r w:rsidRPr="00AA67B0">
        <w:rPr>
          <w:rFonts w:ascii="Times New Roman" w:eastAsia="Times New Roman" w:hAnsi="Times New Roman" w:cs="Times New Roman"/>
          <w:color w:val="000000" w:themeColor="text1"/>
          <w:sz w:val="24"/>
          <w:szCs w:val="24"/>
        </w:rPr>
        <w:t>PA</w:t>
      </w:r>
      <w:r w:rsidR="001C2334"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at work. The hierarchical regression analysis showed that having been on sick leave </w:t>
      </w:r>
      <w:r w:rsidR="008322AF" w:rsidRPr="00AA67B0">
        <w:rPr>
          <w:rFonts w:ascii="Times New Roman" w:eastAsia="Times New Roman" w:hAnsi="Times New Roman" w:cs="Times New Roman"/>
          <w:color w:val="000000" w:themeColor="text1"/>
          <w:sz w:val="24"/>
          <w:szCs w:val="24"/>
        </w:rPr>
        <w:t xml:space="preserve">in the preceding year </w:t>
      </w:r>
      <w:r w:rsidRPr="00AA67B0">
        <w:rPr>
          <w:rFonts w:ascii="Times New Roman" w:eastAsia="Times New Roman" w:hAnsi="Times New Roman" w:cs="Times New Roman"/>
          <w:color w:val="000000" w:themeColor="text1"/>
          <w:sz w:val="24"/>
          <w:szCs w:val="24"/>
        </w:rPr>
        <w:t xml:space="preserve">was the most important predictor of EE. Moreover, full-time </w:t>
      </w:r>
      <w:r w:rsidR="008322AF" w:rsidRPr="00AA67B0">
        <w:rPr>
          <w:rFonts w:ascii="Times New Roman" w:eastAsia="Times New Roman" w:hAnsi="Times New Roman" w:cs="Times New Roman"/>
          <w:color w:val="000000" w:themeColor="text1"/>
          <w:sz w:val="24"/>
          <w:szCs w:val="24"/>
        </w:rPr>
        <w:t xml:space="preserve">employment status </w:t>
      </w:r>
      <w:r w:rsidRPr="00AA67B0">
        <w:rPr>
          <w:rFonts w:ascii="Times New Roman" w:eastAsia="Times New Roman" w:hAnsi="Times New Roman" w:cs="Times New Roman"/>
          <w:color w:val="000000" w:themeColor="text1"/>
          <w:sz w:val="24"/>
          <w:szCs w:val="24"/>
        </w:rPr>
        <w:t>was the most robust predictor of PD, and professional activity in specialized social services was the main predictor of PA.</w:t>
      </w:r>
    </w:p>
    <w:p w14:paraId="12D02594" w14:textId="77777777" w:rsidR="00EB56D6" w:rsidRPr="00AA67B0" w:rsidRDefault="004D1F5E">
      <w:pPr>
        <w:tabs>
          <w:tab w:val="left" w:pos="284"/>
        </w:tabs>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The low percentages of total variance explained imply that although certain sociodemographic characteristics are significant predictors, their effects are very small.</w:t>
      </w:r>
    </w:p>
    <w:p w14:paraId="563E6605" w14:textId="77777777" w:rsidR="00EB56D6" w:rsidRPr="00AA67B0" w:rsidRDefault="00EB56D6">
      <w:pPr>
        <w:tabs>
          <w:tab w:val="left" w:pos="284"/>
        </w:tabs>
        <w:spacing w:after="0" w:line="360" w:lineRule="auto"/>
        <w:rPr>
          <w:rFonts w:ascii="Times New Roman" w:eastAsia="Times New Roman" w:hAnsi="Times New Roman" w:cs="Times New Roman"/>
          <w:color w:val="000000" w:themeColor="text1"/>
          <w:sz w:val="24"/>
          <w:szCs w:val="24"/>
        </w:rPr>
      </w:pPr>
    </w:p>
    <w:p w14:paraId="32DCC40E" w14:textId="77777777" w:rsidR="00EB56D6" w:rsidRPr="00AA67B0" w:rsidRDefault="00EB56D6">
      <w:pPr>
        <w:tabs>
          <w:tab w:val="left" w:pos="284"/>
        </w:tabs>
        <w:spacing w:after="0" w:line="360" w:lineRule="auto"/>
        <w:rPr>
          <w:rFonts w:ascii="Times New Roman" w:eastAsia="Times New Roman" w:hAnsi="Times New Roman" w:cs="Times New Roman"/>
          <w:color w:val="000000" w:themeColor="text1"/>
          <w:sz w:val="24"/>
          <w:szCs w:val="24"/>
        </w:rPr>
      </w:pPr>
    </w:p>
    <w:p w14:paraId="5A5A18B0" w14:textId="2480F75B" w:rsidR="00EB56D6" w:rsidRPr="00AA67B0" w:rsidRDefault="004D1F5E">
      <w:pPr>
        <w:tabs>
          <w:tab w:val="left" w:pos="284"/>
        </w:tabs>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b/>
          <w:i/>
          <w:color w:val="000000" w:themeColor="text1"/>
          <w:sz w:val="24"/>
          <w:szCs w:val="24"/>
        </w:rPr>
        <w:t>Applications:</w:t>
      </w:r>
      <w:r w:rsidRPr="00AA67B0">
        <w:rPr>
          <w:rFonts w:ascii="Times New Roman" w:eastAsia="Times New Roman" w:hAnsi="Times New Roman" w:cs="Times New Roman"/>
          <w:color w:val="000000" w:themeColor="text1"/>
          <w:sz w:val="24"/>
          <w:szCs w:val="24"/>
        </w:rPr>
        <w:t xml:space="preserve"> Public and private organisations devoted to social services </w:t>
      </w:r>
      <w:r w:rsidR="008322AF" w:rsidRPr="00AA67B0">
        <w:rPr>
          <w:rFonts w:ascii="Times New Roman" w:eastAsia="Times New Roman" w:hAnsi="Times New Roman" w:cs="Times New Roman"/>
          <w:color w:val="000000" w:themeColor="text1"/>
          <w:sz w:val="24"/>
          <w:szCs w:val="24"/>
        </w:rPr>
        <w:t>should be</w:t>
      </w:r>
      <w:r w:rsidRPr="00AA67B0">
        <w:rPr>
          <w:rFonts w:ascii="Times New Roman" w:eastAsia="Times New Roman" w:hAnsi="Times New Roman" w:cs="Times New Roman"/>
          <w:color w:val="000000" w:themeColor="text1"/>
          <w:sz w:val="24"/>
          <w:szCs w:val="24"/>
        </w:rPr>
        <w:t xml:space="preserve"> aware of the need to prevent this type of psychosocial risk to which social workers are exposed every day. This would help improve the health and quality of </w:t>
      </w:r>
      <w:r w:rsidR="008322AF" w:rsidRPr="00AA67B0">
        <w:rPr>
          <w:rFonts w:ascii="Times New Roman" w:eastAsia="Times New Roman" w:hAnsi="Times New Roman" w:cs="Times New Roman"/>
          <w:color w:val="000000" w:themeColor="text1"/>
          <w:sz w:val="24"/>
          <w:szCs w:val="24"/>
        </w:rPr>
        <w:t xml:space="preserve">their </w:t>
      </w:r>
      <w:r w:rsidRPr="00AA67B0">
        <w:rPr>
          <w:rFonts w:ascii="Times New Roman" w:eastAsia="Times New Roman" w:hAnsi="Times New Roman" w:cs="Times New Roman"/>
          <w:color w:val="000000" w:themeColor="text1"/>
          <w:sz w:val="24"/>
          <w:szCs w:val="24"/>
        </w:rPr>
        <w:t>li</w:t>
      </w:r>
      <w:r w:rsidR="008322AF" w:rsidRPr="00AA67B0">
        <w:rPr>
          <w:rFonts w:ascii="Times New Roman" w:eastAsia="Times New Roman" w:hAnsi="Times New Roman" w:cs="Times New Roman"/>
          <w:color w:val="000000" w:themeColor="text1"/>
          <w:sz w:val="24"/>
          <w:szCs w:val="24"/>
        </w:rPr>
        <w:t>ves</w:t>
      </w:r>
      <w:r w:rsidRPr="00AA67B0">
        <w:rPr>
          <w:rFonts w:ascii="Times New Roman" w:eastAsia="Times New Roman" w:hAnsi="Times New Roman" w:cs="Times New Roman"/>
          <w:color w:val="000000" w:themeColor="text1"/>
          <w:sz w:val="24"/>
          <w:szCs w:val="24"/>
        </w:rPr>
        <w:t xml:space="preserve"> as well as reduce the high costs which frequent worker </w:t>
      </w:r>
      <w:r w:rsidR="008322AF" w:rsidRPr="00AA67B0">
        <w:rPr>
          <w:rFonts w:ascii="Times New Roman" w:eastAsia="Times New Roman" w:hAnsi="Times New Roman" w:cs="Times New Roman"/>
          <w:color w:val="000000" w:themeColor="text1"/>
          <w:sz w:val="24"/>
          <w:szCs w:val="24"/>
        </w:rPr>
        <w:t xml:space="preserve">turnover </w:t>
      </w:r>
      <w:r w:rsidRPr="00AA67B0">
        <w:rPr>
          <w:rFonts w:ascii="Times New Roman" w:eastAsia="Times New Roman" w:hAnsi="Times New Roman" w:cs="Times New Roman"/>
          <w:color w:val="000000" w:themeColor="text1"/>
          <w:sz w:val="24"/>
          <w:szCs w:val="24"/>
        </w:rPr>
        <w:t>and sick leave entail, and would also enhance the effectiveness of the services provided.</w:t>
      </w:r>
    </w:p>
    <w:p w14:paraId="4D71FC57" w14:textId="77777777" w:rsidR="00EB56D6" w:rsidRPr="00AA67B0" w:rsidRDefault="00EB56D6">
      <w:pPr>
        <w:tabs>
          <w:tab w:val="left" w:pos="284"/>
        </w:tabs>
        <w:spacing w:after="0" w:line="360" w:lineRule="auto"/>
        <w:rPr>
          <w:rFonts w:ascii="Times New Roman" w:eastAsia="Times New Roman" w:hAnsi="Times New Roman" w:cs="Times New Roman"/>
          <w:color w:val="000000" w:themeColor="text1"/>
          <w:sz w:val="24"/>
          <w:szCs w:val="24"/>
        </w:rPr>
      </w:pPr>
    </w:p>
    <w:p w14:paraId="28EA7EBB" w14:textId="77777777" w:rsidR="00EB56D6" w:rsidRPr="00AA67B0" w:rsidRDefault="00EB56D6">
      <w:pPr>
        <w:tabs>
          <w:tab w:val="left" w:pos="284"/>
        </w:tabs>
        <w:spacing w:after="0" w:line="360" w:lineRule="auto"/>
        <w:rPr>
          <w:rFonts w:ascii="Times New Roman" w:eastAsia="Times New Roman" w:hAnsi="Times New Roman" w:cs="Times New Roman"/>
          <w:color w:val="000000" w:themeColor="text1"/>
          <w:sz w:val="24"/>
          <w:szCs w:val="24"/>
        </w:rPr>
      </w:pPr>
    </w:p>
    <w:p w14:paraId="470C9FB4" w14:textId="77777777" w:rsidR="00EB56D6" w:rsidRPr="00AA67B0" w:rsidRDefault="004D1F5E">
      <w:pPr>
        <w:tabs>
          <w:tab w:val="left" w:pos="284"/>
        </w:tabs>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b/>
          <w:i/>
          <w:color w:val="000000" w:themeColor="text1"/>
          <w:sz w:val="24"/>
          <w:szCs w:val="24"/>
        </w:rPr>
        <w:t>Key Words:</w:t>
      </w:r>
      <w:r w:rsidRPr="00AA67B0">
        <w:rPr>
          <w:rFonts w:ascii="Times New Roman" w:eastAsia="Times New Roman" w:hAnsi="Times New Roman" w:cs="Times New Roman"/>
          <w:color w:val="000000" w:themeColor="text1"/>
          <w:sz w:val="24"/>
          <w:szCs w:val="24"/>
        </w:rPr>
        <w:t xml:space="preserve"> burnout, sociodemographic, Spanish social workers, MBI-HSS</w:t>
      </w:r>
    </w:p>
    <w:p w14:paraId="4A579914" w14:textId="77777777" w:rsidR="00EB56D6" w:rsidRPr="00AA67B0" w:rsidRDefault="00EB56D6">
      <w:pPr>
        <w:tabs>
          <w:tab w:val="left" w:pos="284"/>
        </w:tabs>
        <w:spacing w:after="0" w:line="360" w:lineRule="auto"/>
        <w:rPr>
          <w:rFonts w:ascii="Times New Roman" w:eastAsia="Times New Roman" w:hAnsi="Times New Roman" w:cs="Times New Roman"/>
          <w:color w:val="000000" w:themeColor="text1"/>
          <w:sz w:val="24"/>
          <w:szCs w:val="24"/>
        </w:rPr>
      </w:pPr>
    </w:p>
    <w:p w14:paraId="1D986232" w14:textId="77777777" w:rsidR="00EB56D6" w:rsidRPr="00AA67B0" w:rsidRDefault="004D1F5E">
      <w:pPr>
        <w:rPr>
          <w:rFonts w:ascii="Times New Roman" w:eastAsia="Times New Roman" w:hAnsi="Times New Roman" w:cs="Times New Roman"/>
          <w:b/>
          <w:color w:val="000000" w:themeColor="text1"/>
          <w:sz w:val="24"/>
          <w:szCs w:val="24"/>
        </w:rPr>
      </w:pPr>
      <w:r w:rsidRPr="00AA67B0">
        <w:rPr>
          <w:color w:val="000000" w:themeColor="text1"/>
        </w:rPr>
        <w:br w:type="page"/>
      </w:r>
    </w:p>
    <w:p w14:paraId="79FBC80A" w14:textId="77777777" w:rsidR="00EB56D6" w:rsidRPr="00AA67B0" w:rsidRDefault="004D1F5E">
      <w:pPr>
        <w:spacing w:after="0" w:line="360" w:lineRule="auto"/>
        <w:rPr>
          <w:rFonts w:ascii="Times New Roman" w:eastAsia="Times New Roman" w:hAnsi="Times New Roman" w:cs="Times New Roman"/>
          <w:b/>
          <w:color w:val="000000" w:themeColor="text1"/>
          <w:sz w:val="24"/>
          <w:szCs w:val="24"/>
        </w:rPr>
      </w:pPr>
      <w:r w:rsidRPr="00AA67B0">
        <w:rPr>
          <w:rFonts w:ascii="Times New Roman" w:eastAsia="Times New Roman" w:hAnsi="Times New Roman" w:cs="Times New Roman"/>
          <w:b/>
          <w:color w:val="000000" w:themeColor="text1"/>
          <w:sz w:val="24"/>
          <w:szCs w:val="24"/>
        </w:rPr>
        <w:lastRenderedPageBreak/>
        <w:t>Introduction</w:t>
      </w:r>
    </w:p>
    <w:p w14:paraId="4B362A75" w14:textId="77777777" w:rsidR="00EB56D6" w:rsidRPr="00AA67B0" w:rsidRDefault="00EB56D6">
      <w:pPr>
        <w:spacing w:after="0" w:line="360" w:lineRule="auto"/>
        <w:rPr>
          <w:rFonts w:ascii="Times New Roman" w:eastAsia="Times New Roman" w:hAnsi="Times New Roman" w:cs="Times New Roman"/>
          <w:b/>
          <w:color w:val="000000" w:themeColor="text1"/>
          <w:sz w:val="24"/>
          <w:szCs w:val="24"/>
        </w:rPr>
      </w:pPr>
    </w:p>
    <w:p w14:paraId="7807AA09" w14:textId="5C36004C" w:rsidR="00EB56D6" w:rsidRPr="00AA67B0" w:rsidRDefault="004D1F5E">
      <w:pPr>
        <w:spacing w:after="0" w:line="360" w:lineRule="auto"/>
        <w:jc w:val="both"/>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Burnout syndrome has been conceptualised as a response to chronic work stress, which develops in those individuals whose work objective is people in any type of caregiving activity; for example, nurses, doctors, social workers, etc. (Leiter, Bakker, &amp; Maslach, 2014). The results of numerous studies on burnout syndrome reveal its high presence among workers in human services (Guy, Newman, Mastracci, &amp; Maynard-Moody, 2010). Studies carried out in the United Kingdom (Evans et al., 1996), United States (</w:t>
      </w:r>
      <w:r w:rsidR="00926902" w:rsidRPr="00AA67B0">
        <w:rPr>
          <w:rFonts w:ascii="Times New Roman" w:eastAsia="Times New Roman" w:hAnsi="Times New Roman" w:cs="Times New Roman"/>
          <w:color w:val="000000" w:themeColor="text1"/>
          <w:sz w:val="24"/>
          <w:szCs w:val="24"/>
        </w:rPr>
        <w:t>K</w:t>
      </w:r>
      <w:r w:rsidR="000E088E" w:rsidRPr="00AA67B0">
        <w:rPr>
          <w:rFonts w:ascii="Times New Roman" w:eastAsia="Times New Roman" w:hAnsi="Times New Roman" w:cs="Times New Roman"/>
          <w:color w:val="000000" w:themeColor="text1"/>
          <w:sz w:val="24"/>
          <w:szCs w:val="24"/>
        </w:rPr>
        <w:t>im</w:t>
      </w:r>
      <w:r w:rsidR="00926902" w:rsidRPr="00AA67B0">
        <w:rPr>
          <w:rFonts w:ascii="Times New Roman" w:eastAsia="Times New Roman" w:hAnsi="Times New Roman" w:cs="Times New Roman"/>
          <w:color w:val="000000" w:themeColor="text1"/>
          <w:sz w:val="24"/>
          <w:szCs w:val="24"/>
        </w:rPr>
        <w:t xml:space="preserve">, 2011; </w:t>
      </w:r>
      <w:r w:rsidRPr="00AA67B0">
        <w:rPr>
          <w:rFonts w:ascii="Times New Roman" w:eastAsia="Times New Roman" w:hAnsi="Times New Roman" w:cs="Times New Roman"/>
          <w:color w:val="000000" w:themeColor="text1"/>
          <w:sz w:val="24"/>
          <w:szCs w:val="24"/>
        </w:rPr>
        <w:t xml:space="preserve">Travis, Lizano, Barak, </w:t>
      </w:r>
      <w:r w:rsidR="000E088E" w:rsidRPr="00AA67B0">
        <w:rPr>
          <w:rFonts w:ascii="Times New Roman" w:eastAsia="Times New Roman" w:hAnsi="Times New Roman" w:cs="Times New Roman"/>
          <w:color w:val="000000" w:themeColor="text1"/>
          <w:sz w:val="24"/>
          <w:szCs w:val="24"/>
        </w:rPr>
        <w:t xml:space="preserve">&amp; </w:t>
      </w:r>
      <w:r w:rsidRPr="00AA67B0">
        <w:rPr>
          <w:rFonts w:ascii="Times New Roman" w:eastAsia="Times New Roman" w:hAnsi="Times New Roman" w:cs="Times New Roman"/>
          <w:color w:val="000000" w:themeColor="text1"/>
          <w:sz w:val="24"/>
          <w:szCs w:val="24"/>
        </w:rPr>
        <w:t>Mor Barak, 2016;)</w:t>
      </w:r>
      <w:r w:rsidR="00926902"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Canada (Crowder &amp; Sears, 2017)</w:t>
      </w:r>
      <w:r w:rsidR="00926902"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Israel (Finzi-</w:t>
      </w:r>
      <w:r w:rsidR="000E088E" w:rsidRPr="00AA67B0">
        <w:rPr>
          <w:rFonts w:ascii="Times New Roman" w:eastAsia="Times New Roman" w:hAnsi="Times New Roman" w:cs="Times New Roman"/>
          <w:color w:val="000000" w:themeColor="text1"/>
          <w:sz w:val="24"/>
          <w:szCs w:val="24"/>
        </w:rPr>
        <w:t>D</w:t>
      </w:r>
      <w:r w:rsidRPr="00AA67B0">
        <w:rPr>
          <w:rFonts w:ascii="Times New Roman" w:eastAsia="Times New Roman" w:hAnsi="Times New Roman" w:cs="Times New Roman"/>
          <w:color w:val="000000" w:themeColor="text1"/>
          <w:sz w:val="24"/>
          <w:szCs w:val="24"/>
        </w:rPr>
        <w:t>ottan &amp; Kormosh, 2016) and other countries reveal how social workers suffer high rates of stress and burnout. Nevertheless, the majority of these studies have been conducted in the English-speaking world, while in Spain there is a scarcity of information on burnout in social workers as a group (Sánchez-Moreno</w:t>
      </w:r>
      <w:r w:rsidR="000E088E"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w:t>
      </w:r>
      <w:r w:rsidR="000E088E" w:rsidRPr="00AA67B0">
        <w:rPr>
          <w:rFonts w:ascii="Times New Roman" w:eastAsia="Times New Roman" w:hAnsi="Times New Roman" w:cs="Times New Roman"/>
          <w:color w:val="000000" w:themeColor="text1"/>
          <w:sz w:val="24"/>
          <w:szCs w:val="24"/>
        </w:rPr>
        <w:t>de La Fuente Roldán, Gallardo-Peralta, &amp; de Roda,</w:t>
      </w:r>
      <w:r w:rsidRPr="00AA67B0">
        <w:rPr>
          <w:rFonts w:ascii="Times New Roman" w:eastAsia="Times New Roman" w:hAnsi="Times New Roman" w:cs="Times New Roman"/>
          <w:color w:val="000000" w:themeColor="text1"/>
          <w:sz w:val="24"/>
          <w:szCs w:val="24"/>
        </w:rPr>
        <w:t xml:space="preserve"> 2015). </w:t>
      </w:r>
    </w:p>
    <w:p w14:paraId="59130BD0" w14:textId="1EB63CED"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Freudenberger </w:t>
      </w:r>
      <w:r w:rsidR="00926902" w:rsidRPr="00AA67B0">
        <w:rPr>
          <w:rFonts w:ascii="Times New Roman" w:eastAsia="Times New Roman" w:hAnsi="Times New Roman" w:cs="Times New Roman"/>
          <w:color w:val="000000" w:themeColor="text1"/>
          <w:sz w:val="24"/>
          <w:szCs w:val="24"/>
        </w:rPr>
        <w:t xml:space="preserve">and </w:t>
      </w:r>
      <w:r w:rsidRPr="00AA67B0">
        <w:rPr>
          <w:rFonts w:ascii="Times New Roman" w:eastAsia="Times New Roman" w:hAnsi="Times New Roman" w:cs="Times New Roman"/>
          <w:color w:val="000000" w:themeColor="text1"/>
          <w:sz w:val="24"/>
          <w:szCs w:val="24"/>
        </w:rPr>
        <w:t>Richelson (1980) defined burnout as a feeling of failure and exhaustion or weariness resulting from excess demands on energy, personal resources or workers’ spiritual strength.</w:t>
      </w:r>
    </w:p>
    <w:p w14:paraId="4AB8FDCF" w14:textId="77777777"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One of the main obstacles to understanding and evaluating burnout is that there is no single universally accepted definition, although there does seem to be agreement that it emerges as a response to chronic stress. When delimiting burnout conceptually, a distinction may be drawn between two different perspectives: the clinical and the psychosocial (Gil-Monte &amp; Peiró, 1997). From the clinical standpoint (Freudenberger &amp; Richelson, 1980), it is perceived as a state resulting from work-related stress and is characterised by the feeling of exhaustion, disenchantment and lack of interest in one’s job. It mainly arises amongst workers whose job involves close contact with others, and emerges as a consequence of weariness due to their seeking to achieve a job satisfaction that proves unattainable. </w:t>
      </w:r>
    </w:p>
    <w:p w14:paraId="35EDC079" w14:textId="70BA3764"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From the psychosocial perspective, burnout is seen as a process </w:t>
      </w:r>
      <w:r w:rsidR="00926902" w:rsidRPr="00AA67B0">
        <w:rPr>
          <w:rFonts w:ascii="Times New Roman" w:eastAsia="Times New Roman" w:hAnsi="Times New Roman" w:cs="Times New Roman"/>
          <w:color w:val="000000" w:themeColor="text1"/>
          <w:sz w:val="24"/>
          <w:szCs w:val="24"/>
        </w:rPr>
        <w:t xml:space="preserve">that </w:t>
      </w:r>
      <w:r w:rsidRPr="00AA67B0">
        <w:rPr>
          <w:rFonts w:ascii="Times New Roman" w:eastAsia="Times New Roman" w:hAnsi="Times New Roman" w:cs="Times New Roman"/>
          <w:color w:val="000000" w:themeColor="text1"/>
          <w:sz w:val="24"/>
          <w:szCs w:val="24"/>
        </w:rPr>
        <w:t>results from the interaction between individual and workplace features in a series of stages or phases</w:t>
      </w:r>
      <w:r w:rsidR="00D81A5E"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which display different symptoms. Predominant in this approach is the definition of Maslach </w:t>
      </w:r>
      <w:r w:rsidR="00D81A5E" w:rsidRPr="00AA67B0">
        <w:rPr>
          <w:rFonts w:ascii="Times New Roman" w:eastAsia="Times New Roman" w:hAnsi="Times New Roman" w:cs="Times New Roman"/>
          <w:color w:val="000000" w:themeColor="text1"/>
          <w:sz w:val="24"/>
          <w:szCs w:val="24"/>
        </w:rPr>
        <w:t xml:space="preserve">and </w:t>
      </w:r>
      <w:r w:rsidRPr="00AA67B0">
        <w:rPr>
          <w:rFonts w:ascii="Times New Roman" w:eastAsia="Times New Roman" w:hAnsi="Times New Roman" w:cs="Times New Roman"/>
          <w:color w:val="000000" w:themeColor="text1"/>
          <w:sz w:val="24"/>
          <w:szCs w:val="24"/>
        </w:rPr>
        <w:t xml:space="preserve">Jackson (1982), who described it as a state of emotional weariness or physical exhaustion </w:t>
      </w:r>
      <w:r w:rsidR="00B007DE" w:rsidRPr="00AA67B0">
        <w:rPr>
          <w:rFonts w:ascii="Times New Roman" w:eastAsia="Times New Roman" w:hAnsi="Times New Roman" w:cs="Times New Roman"/>
          <w:color w:val="000000" w:themeColor="text1"/>
          <w:sz w:val="24"/>
          <w:szCs w:val="24"/>
        </w:rPr>
        <w:t xml:space="preserve">caused </w:t>
      </w:r>
      <w:r w:rsidRPr="00AA67B0">
        <w:rPr>
          <w:rFonts w:ascii="Times New Roman" w:eastAsia="Times New Roman" w:hAnsi="Times New Roman" w:cs="Times New Roman"/>
          <w:color w:val="000000" w:themeColor="text1"/>
          <w:sz w:val="24"/>
          <w:szCs w:val="24"/>
        </w:rPr>
        <w:t>by prolonged exposure to stress</w:t>
      </w:r>
      <w:r w:rsidR="00B007DE" w:rsidRPr="00AA67B0">
        <w:rPr>
          <w:rFonts w:ascii="Times New Roman" w:eastAsia="Times New Roman" w:hAnsi="Times New Roman" w:cs="Times New Roman"/>
          <w:color w:val="000000" w:themeColor="text1"/>
          <w:sz w:val="24"/>
          <w:szCs w:val="24"/>
        </w:rPr>
        <w:t>ful</w:t>
      </w:r>
      <w:r w:rsidRPr="00AA67B0">
        <w:rPr>
          <w:rFonts w:ascii="Times New Roman" w:eastAsia="Times New Roman" w:hAnsi="Times New Roman" w:cs="Times New Roman"/>
          <w:color w:val="000000" w:themeColor="text1"/>
          <w:sz w:val="24"/>
          <w:szCs w:val="24"/>
        </w:rPr>
        <w:t xml:space="preserve"> or </w:t>
      </w:r>
      <w:r w:rsidR="00B007DE" w:rsidRPr="00AA67B0">
        <w:rPr>
          <w:rFonts w:ascii="Times New Roman" w:eastAsia="Times New Roman" w:hAnsi="Times New Roman" w:cs="Times New Roman"/>
          <w:color w:val="000000" w:themeColor="text1"/>
          <w:sz w:val="24"/>
          <w:szCs w:val="24"/>
        </w:rPr>
        <w:t xml:space="preserve">difficult </w:t>
      </w:r>
      <w:r w:rsidRPr="00AA67B0">
        <w:rPr>
          <w:rFonts w:ascii="Times New Roman" w:eastAsia="Times New Roman" w:hAnsi="Times New Roman" w:cs="Times New Roman"/>
          <w:color w:val="000000" w:themeColor="text1"/>
          <w:sz w:val="24"/>
          <w:szCs w:val="24"/>
        </w:rPr>
        <w:t>situations. According to this multidimensional model, burnout is a three-dimensional syndrome involving emotional exhaustion (EE), depersonalisation (DP) and poor personal accomplishment (PA).</w:t>
      </w:r>
    </w:p>
    <w:p w14:paraId="7CFDA65D" w14:textId="57D6C3E0"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Exploring burnout in social work is by no means new, and has been the subject of research for some time, particularly in English-speaking countries. Lázaro (2004) states that the link between burnout and social workers dates back to the early research into the topic (Jayaratne &amp; Chess, 1984). </w:t>
      </w:r>
      <w:r w:rsidRPr="00AA67B0">
        <w:rPr>
          <w:rFonts w:ascii="Times New Roman" w:eastAsia="Times New Roman" w:hAnsi="Times New Roman" w:cs="Times New Roman"/>
          <w:color w:val="000000" w:themeColor="text1"/>
          <w:sz w:val="24"/>
          <w:szCs w:val="24"/>
        </w:rPr>
        <w:lastRenderedPageBreak/>
        <w:t xml:space="preserve">Zamanillo (1999) considers that all the phenomena associated with the psychosocial distress of individuals, arranged according to their social-structural origin and personal experience, constitute the formal objective of social work. Grau </w:t>
      </w:r>
      <w:r w:rsidR="00D81A5E" w:rsidRPr="00AA67B0">
        <w:rPr>
          <w:rFonts w:ascii="Times New Roman" w:eastAsia="Times New Roman" w:hAnsi="Times New Roman" w:cs="Times New Roman"/>
          <w:color w:val="000000" w:themeColor="text1"/>
          <w:sz w:val="24"/>
          <w:szCs w:val="24"/>
        </w:rPr>
        <w:t xml:space="preserve">and </w:t>
      </w:r>
      <w:r w:rsidRPr="00AA67B0">
        <w:rPr>
          <w:rFonts w:ascii="Times New Roman" w:eastAsia="Times New Roman" w:hAnsi="Times New Roman" w:cs="Times New Roman"/>
          <w:color w:val="000000" w:themeColor="text1"/>
          <w:sz w:val="24"/>
          <w:szCs w:val="24"/>
        </w:rPr>
        <w:t>Suñer (2008) note</w:t>
      </w:r>
      <w:r w:rsidR="00F211B7" w:rsidRPr="00AA67B0">
        <w:rPr>
          <w:rFonts w:ascii="Times New Roman" w:eastAsia="Times New Roman" w:hAnsi="Times New Roman" w:cs="Times New Roman"/>
          <w:color w:val="000000" w:themeColor="text1"/>
          <w:sz w:val="24"/>
          <w:szCs w:val="24"/>
        </w:rPr>
        <w:t>d</w:t>
      </w:r>
      <w:r w:rsidRPr="00AA67B0">
        <w:rPr>
          <w:rFonts w:ascii="Times New Roman" w:eastAsia="Times New Roman" w:hAnsi="Times New Roman" w:cs="Times New Roman"/>
          <w:color w:val="000000" w:themeColor="text1"/>
          <w:sz w:val="24"/>
          <w:szCs w:val="24"/>
        </w:rPr>
        <w:t xml:space="preserve"> that this psychosocial distress, the objective of </w:t>
      </w:r>
      <w:r w:rsidR="003B651F" w:rsidRPr="00AA67B0">
        <w:rPr>
          <w:rFonts w:ascii="Times New Roman" w:eastAsia="Times New Roman" w:hAnsi="Times New Roman" w:cs="Times New Roman"/>
          <w:color w:val="000000" w:themeColor="text1"/>
          <w:sz w:val="24"/>
          <w:szCs w:val="24"/>
        </w:rPr>
        <w:t xml:space="preserve">the </w:t>
      </w:r>
      <w:r w:rsidRPr="00AA67B0">
        <w:rPr>
          <w:rFonts w:ascii="Times New Roman" w:eastAsia="Times New Roman" w:hAnsi="Times New Roman" w:cs="Times New Roman"/>
          <w:color w:val="000000" w:themeColor="text1"/>
          <w:sz w:val="24"/>
          <w:szCs w:val="24"/>
        </w:rPr>
        <w:t xml:space="preserve">social workers’ profession, implies </w:t>
      </w:r>
      <w:r w:rsidR="00D81A5E" w:rsidRPr="00AA67B0">
        <w:rPr>
          <w:rFonts w:ascii="Times New Roman" w:eastAsia="Times New Roman" w:hAnsi="Times New Roman" w:cs="Times New Roman"/>
          <w:color w:val="000000" w:themeColor="text1"/>
          <w:sz w:val="24"/>
          <w:szCs w:val="24"/>
        </w:rPr>
        <w:t xml:space="preserve">that </w:t>
      </w:r>
      <w:r w:rsidR="003B651F" w:rsidRPr="00AA67B0">
        <w:rPr>
          <w:rFonts w:ascii="Times New Roman" w:eastAsia="Times New Roman" w:hAnsi="Times New Roman" w:cs="Times New Roman"/>
          <w:color w:val="000000" w:themeColor="text1"/>
          <w:sz w:val="24"/>
          <w:szCs w:val="24"/>
        </w:rPr>
        <w:t xml:space="preserve">social work is </w:t>
      </w:r>
      <w:r w:rsidRPr="00AA67B0">
        <w:rPr>
          <w:rFonts w:ascii="Times New Roman" w:eastAsia="Times New Roman" w:hAnsi="Times New Roman" w:cs="Times New Roman"/>
          <w:color w:val="000000" w:themeColor="text1"/>
          <w:sz w:val="24"/>
          <w:szCs w:val="24"/>
        </w:rPr>
        <w:t xml:space="preserve">an occupational activity </w:t>
      </w:r>
      <w:r w:rsidR="00D81A5E" w:rsidRPr="00AA67B0">
        <w:rPr>
          <w:rFonts w:ascii="Times New Roman" w:eastAsia="Times New Roman" w:hAnsi="Times New Roman" w:cs="Times New Roman"/>
          <w:color w:val="000000" w:themeColor="text1"/>
          <w:sz w:val="24"/>
          <w:szCs w:val="24"/>
        </w:rPr>
        <w:t>that is</w:t>
      </w:r>
      <w:r w:rsidRPr="00AA67B0">
        <w:rPr>
          <w:rFonts w:ascii="Times New Roman" w:eastAsia="Times New Roman" w:hAnsi="Times New Roman" w:cs="Times New Roman"/>
          <w:color w:val="000000" w:themeColor="text1"/>
          <w:sz w:val="24"/>
          <w:szCs w:val="24"/>
        </w:rPr>
        <w:t xml:space="preserve"> high risk for burnout syndrome. In their daily job, social workers are faced with a lack of resources, complex social situations, ambiguity of role, huge amounts of paperwork and scant social recognition.</w:t>
      </w:r>
    </w:p>
    <w:p w14:paraId="29E437C5" w14:textId="2F65E0AF"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There is a gamut of literature on the risk factors that favour the appearance and subsequent development of burnout syndrome. </w:t>
      </w:r>
      <w:r w:rsidR="003B651F" w:rsidRPr="00AA67B0">
        <w:rPr>
          <w:rFonts w:ascii="Times New Roman" w:eastAsia="Times New Roman" w:hAnsi="Times New Roman" w:cs="Times New Roman"/>
          <w:color w:val="000000" w:themeColor="text1"/>
          <w:sz w:val="24"/>
          <w:szCs w:val="24"/>
        </w:rPr>
        <w:t xml:space="preserve">Prior </w:t>
      </w:r>
      <w:r w:rsidRPr="00AA67B0">
        <w:rPr>
          <w:rFonts w:ascii="Times New Roman" w:eastAsia="Times New Roman" w:hAnsi="Times New Roman" w:cs="Times New Roman"/>
          <w:color w:val="000000" w:themeColor="text1"/>
          <w:sz w:val="24"/>
          <w:szCs w:val="24"/>
        </w:rPr>
        <w:t xml:space="preserve">study </w:t>
      </w:r>
      <w:r w:rsidR="00D81A5E" w:rsidRPr="00AA67B0">
        <w:rPr>
          <w:rFonts w:ascii="Times New Roman" w:eastAsia="Times New Roman" w:hAnsi="Times New Roman" w:cs="Times New Roman"/>
          <w:color w:val="000000" w:themeColor="text1"/>
          <w:sz w:val="24"/>
          <w:szCs w:val="24"/>
        </w:rPr>
        <w:t xml:space="preserve">has </w:t>
      </w:r>
      <w:r w:rsidRPr="00AA67B0">
        <w:rPr>
          <w:rFonts w:ascii="Times New Roman" w:eastAsia="Times New Roman" w:hAnsi="Times New Roman" w:cs="Times New Roman"/>
          <w:color w:val="000000" w:themeColor="text1"/>
          <w:sz w:val="24"/>
          <w:szCs w:val="24"/>
        </w:rPr>
        <w:t xml:space="preserve">principally focused on environmental / organisational factors and individual factors (McFadden, Campbell, &amp; Taylor, 2015). </w:t>
      </w:r>
    </w:p>
    <w:p w14:paraId="333C4F51" w14:textId="524CB461"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According to Antonopoulou, Killian </w:t>
      </w:r>
      <w:r w:rsidR="00D81A5E" w:rsidRPr="00AA67B0">
        <w:rPr>
          <w:rFonts w:ascii="Times New Roman" w:eastAsia="Times New Roman" w:hAnsi="Times New Roman" w:cs="Times New Roman"/>
          <w:color w:val="000000" w:themeColor="text1"/>
          <w:sz w:val="24"/>
          <w:szCs w:val="24"/>
        </w:rPr>
        <w:t xml:space="preserve">and </w:t>
      </w:r>
      <w:r w:rsidRPr="00AA67B0">
        <w:rPr>
          <w:rFonts w:ascii="Times New Roman" w:eastAsia="Times New Roman" w:hAnsi="Times New Roman" w:cs="Times New Roman"/>
          <w:color w:val="000000" w:themeColor="text1"/>
          <w:sz w:val="24"/>
          <w:szCs w:val="24"/>
        </w:rPr>
        <w:t xml:space="preserve">Forrester (2017), the environmental / organisational factors would include three domains: organisational climate, organisational culture and work attitudes. </w:t>
      </w:r>
    </w:p>
    <w:p w14:paraId="2BBBAC98" w14:textId="0BF10F37"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According to Webb </w:t>
      </w:r>
      <w:r w:rsidR="00D81A5E" w:rsidRPr="00AA67B0">
        <w:rPr>
          <w:rFonts w:ascii="Times New Roman" w:eastAsia="Times New Roman" w:hAnsi="Times New Roman" w:cs="Times New Roman"/>
          <w:color w:val="000000" w:themeColor="text1"/>
          <w:sz w:val="24"/>
          <w:szCs w:val="24"/>
        </w:rPr>
        <w:t xml:space="preserve">and </w:t>
      </w:r>
      <w:r w:rsidRPr="00AA67B0">
        <w:rPr>
          <w:rFonts w:ascii="Times New Roman" w:eastAsia="Times New Roman" w:hAnsi="Times New Roman" w:cs="Times New Roman"/>
          <w:color w:val="000000" w:themeColor="text1"/>
          <w:sz w:val="24"/>
          <w:szCs w:val="24"/>
        </w:rPr>
        <w:t>Carpenter (2012), the individual factors refer to the personal characteristics of workers and include demographic data, levels of education / training, levels of experience, degree of satisfaction and job dedication, levels of self-efficacy, and the degree of support from friends, relatives and other people.</w:t>
      </w:r>
    </w:p>
    <w:p w14:paraId="3292FEE2" w14:textId="3738E6EB" w:rsidR="003B651F"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Public and private organisations devoted to social services must become aware of the need to prevent this type of psychosocial risk to which social workers are exposed every day. This would help improve the</w:t>
      </w:r>
      <w:r w:rsidR="00D81A5E" w:rsidRPr="00AA67B0">
        <w:rPr>
          <w:rFonts w:ascii="Times New Roman" w:eastAsia="Times New Roman" w:hAnsi="Times New Roman" w:cs="Times New Roman"/>
          <w:color w:val="000000" w:themeColor="text1"/>
          <w:sz w:val="24"/>
          <w:szCs w:val="24"/>
        </w:rPr>
        <w:t>ir</w:t>
      </w:r>
      <w:r w:rsidRPr="00AA67B0">
        <w:rPr>
          <w:rFonts w:ascii="Times New Roman" w:eastAsia="Times New Roman" w:hAnsi="Times New Roman" w:cs="Times New Roman"/>
          <w:color w:val="000000" w:themeColor="text1"/>
          <w:sz w:val="24"/>
          <w:szCs w:val="24"/>
        </w:rPr>
        <w:t xml:space="preserve"> health and quality of life as well as reduce the high costs which frequent worker </w:t>
      </w:r>
      <w:r w:rsidR="003B651F" w:rsidRPr="00AA67B0">
        <w:rPr>
          <w:rFonts w:ascii="Times New Roman" w:eastAsia="Times New Roman" w:hAnsi="Times New Roman" w:cs="Times New Roman"/>
          <w:color w:val="000000" w:themeColor="text1"/>
          <w:sz w:val="24"/>
          <w:szCs w:val="24"/>
        </w:rPr>
        <w:t xml:space="preserve">turnover </w:t>
      </w:r>
      <w:r w:rsidRPr="00AA67B0">
        <w:rPr>
          <w:rFonts w:ascii="Times New Roman" w:eastAsia="Times New Roman" w:hAnsi="Times New Roman" w:cs="Times New Roman"/>
          <w:color w:val="000000" w:themeColor="text1"/>
          <w:sz w:val="24"/>
          <w:szCs w:val="24"/>
        </w:rPr>
        <w:t>and sick leave entail, and would also enhance the effectiveness of the services provided</w:t>
      </w:r>
      <w:r w:rsidR="003B651F" w:rsidRPr="00AA67B0" w:rsidDel="003B651F">
        <w:rPr>
          <w:rFonts w:ascii="Times New Roman" w:eastAsia="Times New Roman" w:hAnsi="Times New Roman" w:cs="Times New Roman"/>
          <w:color w:val="000000" w:themeColor="text1"/>
          <w:sz w:val="24"/>
          <w:szCs w:val="24"/>
        </w:rPr>
        <w:t xml:space="preserve"> </w:t>
      </w:r>
      <w:r w:rsidRPr="00AA67B0">
        <w:rPr>
          <w:rFonts w:ascii="Times New Roman" w:eastAsia="Times New Roman" w:hAnsi="Times New Roman" w:cs="Times New Roman"/>
          <w:color w:val="000000" w:themeColor="text1"/>
          <w:sz w:val="24"/>
          <w:szCs w:val="24"/>
        </w:rPr>
        <w:t>(Manassero, Vázquez, Ferrer, Fornes,</w:t>
      </w:r>
      <w:r w:rsidR="00DD3384" w:rsidRPr="00AA67B0">
        <w:rPr>
          <w:rFonts w:ascii="Times New Roman" w:eastAsia="Times New Roman" w:hAnsi="Times New Roman" w:cs="Times New Roman"/>
          <w:color w:val="000000" w:themeColor="text1"/>
          <w:sz w:val="24"/>
          <w:szCs w:val="24"/>
        </w:rPr>
        <w:t xml:space="preserve"> </w:t>
      </w:r>
      <w:r w:rsidRPr="00AA67B0">
        <w:rPr>
          <w:rFonts w:ascii="Times New Roman" w:eastAsia="Times New Roman" w:hAnsi="Times New Roman" w:cs="Times New Roman"/>
          <w:color w:val="000000" w:themeColor="text1"/>
          <w:sz w:val="24"/>
          <w:szCs w:val="24"/>
        </w:rPr>
        <w:t>&amp; Fernández</w:t>
      </w:r>
      <w:r w:rsidR="00D81A5E"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1994). </w:t>
      </w:r>
    </w:p>
    <w:p w14:paraId="7895E19E" w14:textId="55465B42"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The role that socio-demographic factors play in the development of burnout syndrome is important for several reasons: first, it is important to check if these factors have a direct influence on </w:t>
      </w:r>
      <w:r w:rsidR="003B651F" w:rsidRPr="00AA67B0">
        <w:rPr>
          <w:rFonts w:ascii="Times New Roman" w:eastAsia="Times New Roman" w:hAnsi="Times New Roman" w:cs="Times New Roman"/>
          <w:color w:val="000000" w:themeColor="text1"/>
          <w:sz w:val="24"/>
          <w:szCs w:val="24"/>
        </w:rPr>
        <w:t xml:space="preserve">levels of </w:t>
      </w:r>
      <w:r w:rsidRPr="00AA67B0">
        <w:rPr>
          <w:rFonts w:ascii="Times New Roman" w:eastAsia="Times New Roman" w:hAnsi="Times New Roman" w:cs="Times New Roman"/>
          <w:color w:val="000000" w:themeColor="text1"/>
          <w:sz w:val="24"/>
          <w:szCs w:val="24"/>
        </w:rPr>
        <w:t xml:space="preserve">burnout and its significance. This will allow the elaboration of a risk profile of social workers </w:t>
      </w:r>
      <w:r w:rsidR="003B651F" w:rsidRPr="00AA67B0">
        <w:rPr>
          <w:rFonts w:ascii="Times New Roman" w:eastAsia="Times New Roman" w:hAnsi="Times New Roman" w:cs="Times New Roman"/>
          <w:color w:val="000000" w:themeColor="text1"/>
          <w:sz w:val="24"/>
          <w:szCs w:val="24"/>
        </w:rPr>
        <w:t xml:space="preserve">for </w:t>
      </w:r>
      <w:r w:rsidRPr="00AA67B0">
        <w:rPr>
          <w:rFonts w:ascii="Times New Roman" w:eastAsia="Times New Roman" w:hAnsi="Times New Roman" w:cs="Times New Roman"/>
          <w:color w:val="000000" w:themeColor="text1"/>
          <w:sz w:val="24"/>
          <w:szCs w:val="24"/>
        </w:rPr>
        <w:t>suffering burnout; second, the identification of several risk factors that may define a risk profile would facilitate the development of primary and secondary intervention program</w:t>
      </w:r>
      <w:r w:rsidR="00D81A5E" w:rsidRPr="00AA67B0">
        <w:rPr>
          <w:rFonts w:ascii="Times New Roman" w:eastAsia="Times New Roman" w:hAnsi="Times New Roman" w:cs="Times New Roman"/>
          <w:color w:val="000000" w:themeColor="text1"/>
          <w:sz w:val="24"/>
          <w:szCs w:val="24"/>
        </w:rPr>
        <w:t>me</w:t>
      </w:r>
      <w:r w:rsidRPr="00AA67B0">
        <w:rPr>
          <w:rFonts w:ascii="Times New Roman" w:eastAsia="Times New Roman" w:hAnsi="Times New Roman" w:cs="Times New Roman"/>
          <w:color w:val="000000" w:themeColor="text1"/>
          <w:sz w:val="24"/>
          <w:szCs w:val="24"/>
        </w:rPr>
        <w:t>s. These program</w:t>
      </w:r>
      <w:r w:rsidR="00D11BBB" w:rsidRPr="00AA67B0">
        <w:rPr>
          <w:rFonts w:ascii="Times New Roman" w:eastAsia="Times New Roman" w:hAnsi="Times New Roman" w:cs="Times New Roman"/>
          <w:color w:val="000000" w:themeColor="text1"/>
          <w:sz w:val="24"/>
          <w:szCs w:val="24"/>
        </w:rPr>
        <w:t>me</w:t>
      </w:r>
      <w:r w:rsidRPr="00AA67B0">
        <w:rPr>
          <w:rFonts w:ascii="Times New Roman" w:eastAsia="Times New Roman" w:hAnsi="Times New Roman" w:cs="Times New Roman"/>
          <w:color w:val="000000" w:themeColor="text1"/>
          <w:sz w:val="24"/>
          <w:szCs w:val="24"/>
        </w:rPr>
        <w:t xml:space="preserve">s focus their actions on preventing the syndrome in general or on </w:t>
      </w:r>
      <w:r w:rsidR="00D11BBB" w:rsidRPr="00AA67B0">
        <w:rPr>
          <w:rFonts w:ascii="Times New Roman" w:eastAsia="Times New Roman" w:hAnsi="Times New Roman" w:cs="Times New Roman"/>
          <w:color w:val="000000" w:themeColor="text1"/>
          <w:sz w:val="24"/>
          <w:szCs w:val="24"/>
        </w:rPr>
        <w:t xml:space="preserve">a </w:t>
      </w:r>
      <w:r w:rsidRPr="00AA67B0">
        <w:rPr>
          <w:rFonts w:ascii="Times New Roman" w:eastAsia="Times New Roman" w:hAnsi="Times New Roman" w:cs="Times New Roman"/>
          <w:color w:val="000000" w:themeColor="text1"/>
          <w:sz w:val="24"/>
          <w:szCs w:val="24"/>
        </w:rPr>
        <w:t xml:space="preserve">risk population, and so, they are generally preferable </w:t>
      </w:r>
      <w:r w:rsidR="00D11BBB" w:rsidRPr="00AA67B0">
        <w:rPr>
          <w:rFonts w:ascii="Times New Roman" w:eastAsia="Times New Roman" w:hAnsi="Times New Roman" w:cs="Times New Roman"/>
          <w:color w:val="000000" w:themeColor="text1"/>
          <w:sz w:val="24"/>
          <w:szCs w:val="24"/>
        </w:rPr>
        <w:t xml:space="preserve">to </w:t>
      </w:r>
      <w:r w:rsidRPr="00AA67B0">
        <w:rPr>
          <w:rFonts w:ascii="Times New Roman" w:eastAsia="Times New Roman" w:hAnsi="Times New Roman" w:cs="Times New Roman"/>
          <w:color w:val="000000" w:themeColor="text1"/>
          <w:sz w:val="24"/>
          <w:szCs w:val="24"/>
        </w:rPr>
        <w:t>tertiary program</w:t>
      </w:r>
      <w:r w:rsidR="00D11BBB" w:rsidRPr="00AA67B0">
        <w:rPr>
          <w:rFonts w:ascii="Times New Roman" w:eastAsia="Times New Roman" w:hAnsi="Times New Roman" w:cs="Times New Roman"/>
          <w:color w:val="000000" w:themeColor="text1"/>
          <w:sz w:val="24"/>
          <w:szCs w:val="24"/>
        </w:rPr>
        <w:t>me</w:t>
      </w:r>
      <w:r w:rsidRPr="00AA67B0">
        <w:rPr>
          <w:rFonts w:ascii="Times New Roman" w:eastAsia="Times New Roman" w:hAnsi="Times New Roman" w:cs="Times New Roman"/>
          <w:color w:val="000000" w:themeColor="text1"/>
          <w:sz w:val="24"/>
          <w:szCs w:val="24"/>
        </w:rPr>
        <w:t xml:space="preserve">s that are centred on </w:t>
      </w:r>
      <w:r w:rsidR="003B651F" w:rsidRPr="00AA67B0">
        <w:rPr>
          <w:rFonts w:ascii="Times New Roman" w:eastAsia="Times New Roman" w:hAnsi="Times New Roman" w:cs="Times New Roman"/>
          <w:color w:val="000000" w:themeColor="text1"/>
          <w:sz w:val="24"/>
          <w:szCs w:val="24"/>
        </w:rPr>
        <w:t xml:space="preserve">helping </w:t>
      </w:r>
      <w:r w:rsidRPr="00AA67B0">
        <w:rPr>
          <w:rFonts w:ascii="Times New Roman" w:eastAsia="Times New Roman" w:hAnsi="Times New Roman" w:cs="Times New Roman"/>
          <w:color w:val="000000" w:themeColor="text1"/>
          <w:sz w:val="24"/>
          <w:szCs w:val="24"/>
        </w:rPr>
        <w:t>workers</w:t>
      </w:r>
      <w:r w:rsidR="003B651F" w:rsidRPr="00AA67B0">
        <w:rPr>
          <w:rFonts w:ascii="Times New Roman" w:eastAsia="Times New Roman" w:hAnsi="Times New Roman" w:cs="Times New Roman"/>
          <w:color w:val="000000" w:themeColor="text1"/>
          <w:sz w:val="24"/>
          <w:szCs w:val="24"/>
        </w:rPr>
        <w:t xml:space="preserve"> to recover</w:t>
      </w:r>
      <w:r w:rsidRPr="00AA67B0">
        <w:rPr>
          <w:rFonts w:ascii="Times New Roman" w:eastAsia="Times New Roman" w:hAnsi="Times New Roman" w:cs="Times New Roman"/>
          <w:color w:val="000000" w:themeColor="text1"/>
          <w:sz w:val="24"/>
          <w:szCs w:val="24"/>
        </w:rPr>
        <w:t xml:space="preserve"> from </w:t>
      </w:r>
      <w:r w:rsidR="003B651F" w:rsidRPr="00AA67B0">
        <w:rPr>
          <w:rFonts w:ascii="Times New Roman" w:eastAsia="Times New Roman" w:hAnsi="Times New Roman" w:cs="Times New Roman"/>
          <w:color w:val="000000" w:themeColor="text1"/>
          <w:sz w:val="24"/>
          <w:szCs w:val="24"/>
        </w:rPr>
        <w:t xml:space="preserve">poor </w:t>
      </w:r>
      <w:r w:rsidRPr="00AA67B0">
        <w:rPr>
          <w:rFonts w:ascii="Times New Roman" w:eastAsia="Times New Roman" w:hAnsi="Times New Roman" w:cs="Times New Roman"/>
          <w:color w:val="000000" w:themeColor="text1"/>
          <w:sz w:val="24"/>
          <w:szCs w:val="24"/>
        </w:rPr>
        <w:t>health</w:t>
      </w:r>
      <w:r w:rsidR="00D11BBB"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Third, explicative models can be tested and elaborated for this specific population </w:t>
      </w:r>
      <w:r w:rsidR="00965E8E" w:rsidRPr="00AA67B0">
        <w:rPr>
          <w:rFonts w:ascii="Times New Roman" w:eastAsia="Times New Roman" w:hAnsi="Times New Roman" w:cs="Times New Roman"/>
          <w:color w:val="000000" w:themeColor="text1"/>
          <w:sz w:val="24"/>
          <w:szCs w:val="24"/>
        </w:rPr>
        <w:t>relating to</w:t>
      </w:r>
      <w:r w:rsidRPr="00AA67B0">
        <w:rPr>
          <w:rFonts w:ascii="Times New Roman" w:eastAsia="Times New Roman" w:hAnsi="Times New Roman" w:cs="Times New Roman"/>
          <w:color w:val="000000" w:themeColor="text1"/>
          <w:sz w:val="24"/>
          <w:szCs w:val="24"/>
        </w:rPr>
        <w:t xml:space="preserve"> the relations of socio-demographic factors </w:t>
      </w:r>
      <w:r w:rsidR="00965E8E" w:rsidRPr="00AA67B0">
        <w:rPr>
          <w:rFonts w:ascii="Times New Roman" w:eastAsia="Times New Roman" w:hAnsi="Times New Roman" w:cs="Times New Roman"/>
          <w:color w:val="000000" w:themeColor="text1"/>
          <w:sz w:val="24"/>
          <w:szCs w:val="24"/>
        </w:rPr>
        <w:t xml:space="preserve">with </w:t>
      </w:r>
      <w:r w:rsidRPr="00AA67B0">
        <w:rPr>
          <w:rFonts w:ascii="Times New Roman" w:eastAsia="Times New Roman" w:hAnsi="Times New Roman" w:cs="Times New Roman"/>
          <w:color w:val="000000" w:themeColor="text1"/>
          <w:sz w:val="24"/>
          <w:szCs w:val="24"/>
        </w:rPr>
        <w:t>the three dimensions of burnout (Aguayo, Vargas, Cañadas, &amp; Fuente, 2017).</w:t>
      </w:r>
    </w:p>
    <w:p w14:paraId="28FD72FF" w14:textId="77777777"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In relation to social workers, the analysis of these socio-demographic variables has led to results that are inconclusive and often contradictory. As a result, at present there is no consensus on which of these variables are conducive to the development of burnout syndrome.</w:t>
      </w:r>
    </w:p>
    <w:p w14:paraId="1E315936" w14:textId="0630855E"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lastRenderedPageBreak/>
        <w:t>Thus, some studies have not tended to consider gender a reliable predictor of burnout, although different cross-cultural and cross-occupational studies do seem to point to a higher DP amongst men (Grau</w:t>
      </w:r>
      <w:r w:rsidR="00FB43D6" w:rsidRPr="00AA67B0">
        <w:rPr>
          <w:rFonts w:ascii="Times New Roman" w:eastAsia="Times New Roman" w:hAnsi="Times New Roman" w:cs="Times New Roman"/>
          <w:color w:val="000000" w:themeColor="text1"/>
          <w:sz w:val="24"/>
          <w:szCs w:val="24"/>
        </w:rPr>
        <w:t xml:space="preserve">, Flichtentrei, Suñer, &amp; Prats, </w:t>
      </w:r>
      <w:r w:rsidRPr="00AA67B0">
        <w:rPr>
          <w:rFonts w:ascii="Times New Roman" w:eastAsia="Times New Roman" w:hAnsi="Times New Roman" w:cs="Times New Roman"/>
          <w:color w:val="000000" w:themeColor="text1"/>
          <w:sz w:val="24"/>
          <w:szCs w:val="24"/>
        </w:rPr>
        <w:t>2007; Soler et al., 2008). In studies carried out by Evans et al. (1996)</w:t>
      </w:r>
      <w:r w:rsidR="00D11BBB"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amongst social workers, men scored higher than women in DP. The </w:t>
      </w:r>
      <w:r w:rsidR="00965E8E" w:rsidRPr="00AA67B0">
        <w:rPr>
          <w:rFonts w:ascii="Times New Roman" w:eastAsia="Times New Roman" w:hAnsi="Times New Roman" w:cs="Times New Roman"/>
          <w:color w:val="000000" w:themeColor="text1"/>
          <w:sz w:val="24"/>
          <w:szCs w:val="24"/>
        </w:rPr>
        <w:t>justification for</w:t>
      </w:r>
      <w:r w:rsidR="00D11BBB" w:rsidRPr="00AA67B0">
        <w:rPr>
          <w:rFonts w:ascii="Times New Roman" w:eastAsia="Times New Roman" w:hAnsi="Times New Roman" w:cs="Times New Roman"/>
          <w:color w:val="000000" w:themeColor="text1"/>
          <w:sz w:val="24"/>
          <w:szCs w:val="24"/>
        </w:rPr>
        <w:t xml:space="preserve"> </w:t>
      </w:r>
      <w:r w:rsidRPr="00AA67B0">
        <w:rPr>
          <w:rFonts w:ascii="Times New Roman" w:eastAsia="Times New Roman" w:hAnsi="Times New Roman" w:cs="Times New Roman"/>
          <w:color w:val="000000" w:themeColor="text1"/>
          <w:sz w:val="24"/>
          <w:szCs w:val="24"/>
        </w:rPr>
        <w:t>these differences would be the contrasting socialisation processes of the roles played by men and women. The belief is that whereas women are socially conditioned to raise and look after children, see to the housework, tend to their spouse or partner as well as to the elderly on occasions, for men the emphasis is on toughness and a focus on achievement as opposed to interdependence and personal relationship skills.</w:t>
      </w:r>
    </w:p>
    <w:p w14:paraId="66382569" w14:textId="529DAD11"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A large number of studies have shown the relevance of age in the study of burnout. Gold (1985) and Williams (1989) reported that age is inversely related to DP. Gil-Monte (2002) </w:t>
      </w:r>
      <w:r w:rsidR="00965E8E" w:rsidRPr="00AA67B0">
        <w:rPr>
          <w:rFonts w:ascii="Times New Roman" w:eastAsia="Times New Roman" w:hAnsi="Times New Roman" w:cs="Times New Roman"/>
          <w:color w:val="000000" w:themeColor="text1"/>
          <w:sz w:val="24"/>
          <w:szCs w:val="24"/>
        </w:rPr>
        <w:t xml:space="preserve">found </w:t>
      </w:r>
      <w:r w:rsidRPr="00AA67B0">
        <w:rPr>
          <w:rFonts w:ascii="Times New Roman" w:eastAsia="Times New Roman" w:hAnsi="Times New Roman" w:cs="Times New Roman"/>
          <w:color w:val="000000" w:themeColor="text1"/>
          <w:sz w:val="24"/>
          <w:szCs w:val="24"/>
        </w:rPr>
        <w:t xml:space="preserve">that the older people are the less likelihood there is of them presenting high DP values. Hadziolova (1988) considers that older workers evidence a series of characteristics, such as their greater professional experience and knowledge, a sense of responsibility and an ability to deal with problems. </w:t>
      </w:r>
      <w:r w:rsidR="00965E8E" w:rsidRPr="00AA67B0">
        <w:rPr>
          <w:rFonts w:ascii="Times New Roman" w:eastAsia="Times New Roman" w:hAnsi="Times New Roman" w:cs="Times New Roman"/>
          <w:color w:val="000000" w:themeColor="text1"/>
          <w:sz w:val="24"/>
          <w:szCs w:val="24"/>
        </w:rPr>
        <w:t>He further</w:t>
      </w:r>
      <w:r w:rsidRPr="00AA67B0">
        <w:rPr>
          <w:rFonts w:ascii="Times New Roman" w:eastAsia="Times New Roman" w:hAnsi="Times New Roman" w:cs="Times New Roman"/>
          <w:color w:val="000000" w:themeColor="text1"/>
          <w:sz w:val="24"/>
          <w:szCs w:val="24"/>
        </w:rPr>
        <w:t xml:space="preserve"> contends that this is why, in certain professions, older workers can continue doing their job without added stress or overload. Poulin </w:t>
      </w:r>
      <w:r w:rsidR="00867B74" w:rsidRPr="00AA67B0">
        <w:rPr>
          <w:rFonts w:ascii="Times New Roman" w:eastAsia="Times New Roman" w:hAnsi="Times New Roman" w:cs="Times New Roman"/>
          <w:color w:val="000000" w:themeColor="text1"/>
          <w:sz w:val="24"/>
          <w:szCs w:val="24"/>
        </w:rPr>
        <w:t xml:space="preserve">and </w:t>
      </w:r>
      <w:r w:rsidRPr="00AA67B0">
        <w:rPr>
          <w:rFonts w:ascii="Times New Roman" w:eastAsia="Times New Roman" w:hAnsi="Times New Roman" w:cs="Times New Roman"/>
          <w:color w:val="000000" w:themeColor="text1"/>
          <w:sz w:val="24"/>
          <w:szCs w:val="24"/>
        </w:rPr>
        <w:t>Walter (1993) observed the same phenomenon amongst social workers, finding that age is inversely related to EE and DP. Jayaratne</w:t>
      </w:r>
      <w:r w:rsidR="00FB43D6"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w:t>
      </w:r>
      <w:r w:rsidR="00FB43D6" w:rsidRPr="00AA67B0">
        <w:rPr>
          <w:rFonts w:ascii="Times New Roman" w:eastAsia="Times New Roman" w:hAnsi="Times New Roman" w:cs="Times New Roman"/>
          <w:color w:val="000000" w:themeColor="text1"/>
          <w:sz w:val="24"/>
          <w:szCs w:val="24"/>
        </w:rPr>
        <w:t xml:space="preserve"> Vinokur-Kaplan and Chess</w:t>
      </w:r>
      <w:r w:rsidRPr="00AA67B0">
        <w:rPr>
          <w:rFonts w:ascii="Times New Roman" w:eastAsia="Times New Roman" w:hAnsi="Times New Roman" w:cs="Times New Roman"/>
          <w:color w:val="000000" w:themeColor="text1"/>
          <w:sz w:val="24"/>
          <w:szCs w:val="24"/>
        </w:rPr>
        <w:t xml:space="preserve"> (1995) reported that younger social workers experienced lower PA and higher DP than older social workers. Finally, De la Fuente </w:t>
      </w:r>
      <w:r w:rsidR="00867B74" w:rsidRPr="00AA67B0">
        <w:rPr>
          <w:rFonts w:ascii="Times New Roman" w:eastAsia="Times New Roman" w:hAnsi="Times New Roman" w:cs="Times New Roman"/>
          <w:color w:val="000000" w:themeColor="text1"/>
          <w:sz w:val="24"/>
          <w:szCs w:val="24"/>
        </w:rPr>
        <w:t xml:space="preserve">and </w:t>
      </w:r>
      <w:r w:rsidRPr="00AA67B0">
        <w:rPr>
          <w:rFonts w:ascii="Times New Roman" w:eastAsia="Times New Roman" w:hAnsi="Times New Roman" w:cs="Times New Roman"/>
          <w:color w:val="000000" w:themeColor="text1"/>
          <w:sz w:val="24"/>
          <w:szCs w:val="24"/>
        </w:rPr>
        <w:t xml:space="preserve">Sánchez (2012) found statistical significance for the age variable and low PA.   </w:t>
      </w:r>
    </w:p>
    <w:p w14:paraId="13002136" w14:textId="7D0FDFD1"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The incidence of health status on burnout has not </w:t>
      </w:r>
      <w:r w:rsidR="00867B74" w:rsidRPr="00AA67B0">
        <w:rPr>
          <w:rFonts w:ascii="Times New Roman" w:eastAsia="Times New Roman" w:hAnsi="Times New Roman" w:cs="Times New Roman"/>
          <w:color w:val="000000" w:themeColor="text1"/>
          <w:sz w:val="24"/>
          <w:szCs w:val="24"/>
        </w:rPr>
        <w:t xml:space="preserve">yet </w:t>
      </w:r>
      <w:r w:rsidRPr="00AA67B0">
        <w:rPr>
          <w:rFonts w:ascii="Times New Roman" w:eastAsia="Times New Roman" w:hAnsi="Times New Roman" w:cs="Times New Roman"/>
          <w:color w:val="000000" w:themeColor="text1"/>
          <w:sz w:val="24"/>
          <w:szCs w:val="24"/>
        </w:rPr>
        <w:t>been addressed in the scientific literature. However</w:t>
      </w:r>
      <w:r w:rsidR="00867B74"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it has been pointed out as an important stressor for </w:t>
      </w:r>
      <w:r w:rsidR="00867B74" w:rsidRPr="00AA67B0">
        <w:rPr>
          <w:rFonts w:ascii="Times New Roman" w:eastAsia="Times New Roman" w:hAnsi="Times New Roman" w:cs="Times New Roman"/>
          <w:color w:val="000000" w:themeColor="text1"/>
          <w:sz w:val="24"/>
          <w:szCs w:val="24"/>
        </w:rPr>
        <w:t>many</w:t>
      </w:r>
      <w:r w:rsidRPr="00AA67B0">
        <w:rPr>
          <w:rFonts w:ascii="Times New Roman" w:eastAsia="Times New Roman" w:hAnsi="Times New Roman" w:cs="Times New Roman"/>
          <w:color w:val="000000" w:themeColor="text1"/>
          <w:sz w:val="24"/>
          <w:szCs w:val="24"/>
        </w:rPr>
        <w:t xml:space="preserve"> of the workers affected by it.</w:t>
      </w:r>
      <w:r w:rsidR="00867B74" w:rsidRPr="00AA67B0">
        <w:rPr>
          <w:rFonts w:ascii="Times New Roman" w:eastAsia="Times New Roman" w:hAnsi="Times New Roman" w:cs="Times New Roman"/>
          <w:color w:val="000000" w:themeColor="text1"/>
          <w:sz w:val="24"/>
          <w:szCs w:val="24"/>
        </w:rPr>
        <w:t xml:space="preserve"> </w:t>
      </w:r>
      <w:r w:rsidRPr="00AA67B0">
        <w:rPr>
          <w:rFonts w:ascii="Times New Roman" w:eastAsia="Times New Roman" w:hAnsi="Times New Roman" w:cs="Times New Roman"/>
          <w:color w:val="000000" w:themeColor="text1"/>
          <w:sz w:val="24"/>
          <w:szCs w:val="24"/>
        </w:rPr>
        <w:t xml:space="preserve">Grau et al. (2007) found that those who suffered from a chronic illness and who had been on sick leave for whatever reason in the preceding year scored higher in EE. With regard to the consequences of burnout syndrome, various studies have highlighted the fact that there is a significant link between the latter and people’s perceived health problems. An analysis of all symptoms </w:t>
      </w:r>
      <w:r w:rsidR="00867B74" w:rsidRPr="00AA67B0">
        <w:rPr>
          <w:rFonts w:ascii="Times New Roman" w:eastAsia="Times New Roman" w:hAnsi="Times New Roman" w:cs="Times New Roman"/>
          <w:color w:val="000000" w:themeColor="text1"/>
          <w:sz w:val="24"/>
          <w:szCs w:val="24"/>
        </w:rPr>
        <w:t xml:space="preserve">that </w:t>
      </w:r>
      <w:r w:rsidRPr="00AA67B0">
        <w:rPr>
          <w:rFonts w:ascii="Times New Roman" w:eastAsia="Times New Roman" w:hAnsi="Times New Roman" w:cs="Times New Roman"/>
          <w:color w:val="000000" w:themeColor="text1"/>
          <w:sz w:val="24"/>
          <w:szCs w:val="24"/>
        </w:rPr>
        <w:t xml:space="preserve">appear in the literature related to burnout provides evidence that all the systems of the organism are involved. According to Gil-Monte (2002), the most intense correlations emerge between EE and health problems. Correlations between health problems and DP are less intense, and the weakest correlations appear for the PA </w:t>
      </w:r>
      <w:r w:rsidR="006A59D3" w:rsidRPr="00AA67B0">
        <w:rPr>
          <w:rFonts w:ascii="Times New Roman" w:eastAsia="Times New Roman" w:hAnsi="Times New Roman" w:cs="Times New Roman"/>
          <w:color w:val="000000" w:themeColor="text1"/>
          <w:sz w:val="24"/>
          <w:szCs w:val="24"/>
        </w:rPr>
        <w:t xml:space="preserve">in work </w:t>
      </w:r>
      <w:r w:rsidRPr="00AA67B0">
        <w:rPr>
          <w:rFonts w:ascii="Times New Roman" w:eastAsia="Times New Roman" w:hAnsi="Times New Roman" w:cs="Times New Roman"/>
          <w:color w:val="000000" w:themeColor="text1"/>
          <w:sz w:val="24"/>
          <w:szCs w:val="24"/>
        </w:rPr>
        <w:t>scale. Soler et al. (2008) also found that those who had become disabled or who had been on sick leave displayed high EE scores.</w:t>
      </w:r>
    </w:p>
    <w:p w14:paraId="0706D5F5" w14:textId="4C941D57" w:rsidR="00EB56D6" w:rsidRPr="00AA67B0" w:rsidRDefault="00867B74">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Rather </w:t>
      </w:r>
      <w:r w:rsidR="004D1F5E" w:rsidRPr="00AA67B0">
        <w:rPr>
          <w:rFonts w:ascii="Times New Roman" w:eastAsia="Times New Roman" w:hAnsi="Times New Roman" w:cs="Times New Roman"/>
          <w:color w:val="000000" w:themeColor="text1"/>
          <w:sz w:val="24"/>
          <w:szCs w:val="24"/>
        </w:rPr>
        <w:t xml:space="preserve">than </w:t>
      </w:r>
      <w:r w:rsidR="00347BD6" w:rsidRPr="00AA67B0">
        <w:rPr>
          <w:rFonts w:ascii="Times New Roman" w:eastAsia="Times New Roman" w:hAnsi="Times New Roman" w:cs="Times New Roman"/>
          <w:color w:val="000000" w:themeColor="text1"/>
          <w:sz w:val="24"/>
          <w:szCs w:val="24"/>
        </w:rPr>
        <w:t>discussing</w:t>
      </w:r>
      <w:r w:rsidR="004D1F5E" w:rsidRPr="00AA67B0">
        <w:rPr>
          <w:rFonts w:ascii="Times New Roman" w:eastAsia="Times New Roman" w:hAnsi="Times New Roman" w:cs="Times New Roman"/>
          <w:color w:val="000000" w:themeColor="text1"/>
          <w:sz w:val="24"/>
          <w:szCs w:val="24"/>
        </w:rPr>
        <w:t xml:space="preserve"> the role of </w:t>
      </w:r>
      <w:r w:rsidR="00347BD6" w:rsidRPr="00AA67B0">
        <w:rPr>
          <w:rFonts w:ascii="Times New Roman" w:eastAsia="Times New Roman" w:hAnsi="Times New Roman" w:cs="Times New Roman"/>
          <w:color w:val="000000" w:themeColor="text1"/>
          <w:sz w:val="24"/>
          <w:szCs w:val="24"/>
        </w:rPr>
        <w:t xml:space="preserve">marital </w:t>
      </w:r>
      <w:r w:rsidR="004D1F5E" w:rsidRPr="00AA67B0">
        <w:rPr>
          <w:rFonts w:ascii="Times New Roman" w:eastAsia="Times New Roman" w:hAnsi="Times New Roman" w:cs="Times New Roman"/>
          <w:color w:val="000000" w:themeColor="text1"/>
          <w:sz w:val="24"/>
          <w:szCs w:val="24"/>
        </w:rPr>
        <w:t xml:space="preserve">status in relation to burnout, it is preferable to </w:t>
      </w:r>
      <w:r w:rsidRPr="00AA67B0">
        <w:rPr>
          <w:rFonts w:ascii="Times New Roman" w:eastAsia="Times New Roman" w:hAnsi="Times New Roman" w:cs="Times New Roman"/>
          <w:color w:val="000000" w:themeColor="text1"/>
          <w:sz w:val="24"/>
          <w:szCs w:val="24"/>
        </w:rPr>
        <w:t>refer to</w:t>
      </w:r>
      <w:r w:rsidR="004D1F5E" w:rsidRPr="00AA67B0">
        <w:rPr>
          <w:rFonts w:ascii="Times New Roman" w:eastAsia="Times New Roman" w:hAnsi="Times New Roman" w:cs="Times New Roman"/>
          <w:color w:val="000000" w:themeColor="text1"/>
          <w:sz w:val="24"/>
          <w:szCs w:val="24"/>
        </w:rPr>
        <w:t xml:space="preserve"> the type of </w:t>
      </w:r>
      <w:r w:rsidR="0001072E" w:rsidRPr="00AA67B0">
        <w:rPr>
          <w:rFonts w:ascii="Times New Roman" w:eastAsia="Times New Roman" w:hAnsi="Times New Roman" w:cs="Times New Roman"/>
          <w:color w:val="000000" w:themeColor="text1"/>
          <w:sz w:val="24"/>
          <w:szCs w:val="24"/>
        </w:rPr>
        <w:t>cohabitation</w:t>
      </w:r>
      <w:r w:rsidR="004D1F5E" w:rsidRPr="00AA67B0">
        <w:rPr>
          <w:rFonts w:ascii="Times New Roman" w:eastAsia="Times New Roman" w:hAnsi="Times New Roman" w:cs="Times New Roman"/>
          <w:color w:val="000000" w:themeColor="text1"/>
          <w:sz w:val="24"/>
          <w:szCs w:val="24"/>
        </w:rPr>
        <w:t xml:space="preserve">, with a partner or without a partner, maintained by the subject. On the other hand, when </w:t>
      </w:r>
      <w:r w:rsidR="00347BD6" w:rsidRPr="00AA67B0">
        <w:rPr>
          <w:rFonts w:ascii="Times New Roman" w:eastAsia="Times New Roman" w:hAnsi="Times New Roman" w:cs="Times New Roman"/>
          <w:color w:val="000000" w:themeColor="text1"/>
          <w:sz w:val="24"/>
          <w:szCs w:val="24"/>
        </w:rPr>
        <w:t>considering</w:t>
      </w:r>
      <w:r w:rsidR="004D1F5E" w:rsidRPr="00AA67B0">
        <w:rPr>
          <w:rFonts w:ascii="Times New Roman" w:eastAsia="Times New Roman" w:hAnsi="Times New Roman" w:cs="Times New Roman"/>
          <w:color w:val="000000" w:themeColor="text1"/>
          <w:sz w:val="24"/>
          <w:szCs w:val="24"/>
        </w:rPr>
        <w:t xml:space="preserve"> </w:t>
      </w:r>
      <w:r w:rsidR="00347BD6" w:rsidRPr="00AA67B0">
        <w:rPr>
          <w:rFonts w:ascii="Times New Roman" w:eastAsia="Times New Roman" w:hAnsi="Times New Roman" w:cs="Times New Roman"/>
          <w:color w:val="000000" w:themeColor="text1"/>
          <w:sz w:val="24"/>
          <w:szCs w:val="24"/>
        </w:rPr>
        <w:t xml:space="preserve">this </w:t>
      </w:r>
      <w:r w:rsidR="004D1F5E" w:rsidRPr="00AA67B0">
        <w:rPr>
          <w:rFonts w:ascii="Times New Roman" w:eastAsia="Times New Roman" w:hAnsi="Times New Roman" w:cs="Times New Roman"/>
          <w:color w:val="000000" w:themeColor="text1"/>
          <w:sz w:val="24"/>
          <w:szCs w:val="24"/>
        </w:rPr>
        <w:t xml:space="preserve">relationship, it is necessary to pay specific attention to the quality of this relationship, as well as to the level of socio-emotional support provided by the partner (Maslach </w:t>
      </w:r>
      <w:r w:rsidRPr="00AA67B0">
        <w:rPr>
          <w:rFonts w:ascii="Times New Roman" w:eastAsia="Times New Roman" w:hAnsi="Times New Roman" w:cs="Times New Roman"/>
          <w:color w:val="000000" w:themeColor="text1"/>
          <w:sz w:val="24"/>
          <w:szCs w:val="24"/>
        </w:rPr>
        <w:lastRenderedPageBreak/>
        <w:t xml:space="preserve">&amp; </w:t>
      </w:r>
      <w:r w:rsidR="004D1F5E" w:rsidRPr="00AA67B0">
        <w:rPr>
          <w:rFonts w:ascii="Times New Roman" w:eastAsia="Times New Roman" w:hAnsi="Times New Roman" w:cs="Times New Roman"/>
          <w:color w:val="000000" w:themeColor="text1"/>
          <w:sz w:val="24"/>
          <w:szCs w:val="24"/>
        </w:rPr>
        <w:t>Jackson, 1985). In a series of studies conducted in Israel (</w:t>
      </w:r>
      <w:r w:rsidR="000A3C0B" w:rsidRPr="00AA67B0">
        <w:rPr>
          <w:rFonts w:ascii="Times New Roman" w:eastAsia="Times New Roman" w:hAnsi="Times New Roman" w:cs="Times New Roman"/>
          <w:color w:val="000000" w:themeColor="text1"/>
          <w:sz w:val="24"/>
          <w:szCs w:val="24"/>
        </w:rPr>
        <w:t xml:space="preserve">Bargal &amp; </w:t>
      </w:r>
      <w:r w:rsidR="004D1F5E" w:rsidRPr="00AA67B0">
        <w:rPr>
          <w:rFonts w:ascii="Times New Roman" w:eastAsia="Times New Roman" w:hAnsi="Times New Roman" w:cs="Times New Roman"/>
          <w:color w:val="000000" w:themeColor="text1"/>
          <w:sz w:val="24"/>
          <w:szCs w:val="24"/>
        </w:rPr>
        <w:t>Guterman, 1996) and the United States (Siefert, Jayaratne</w:t>
      </w:r>
      <w:r w:rsidRPr="00AA67B0">
        <w:rPr>
          <w:rFonts w:ascii="Times New Roman" w:eastAsia="Times New Roman" w:hAnsi="Times New Roman" w:cs="Times New Roman"/>
          <w:color w:val="000000" w:themeColor="text1"/>
          <w:sz w:val="24"/>
          <w:szCs w:val="24"/>
        </w:rPr>
        <w:t>,</w:t>
      </w:r>
      <w:r w:rsidR="004D1F5E" w:rsidRPr="00AA67B0">
        <w:rPr>
          <w:rFonts w:ascii="Times New Roman" w:eastAsia="Times New Roman" w:hAnsi="Times New Roman" w:cs="Times New Roman"/>
          <w:color w:val="000000" w:themeColor="text1"/>
          <w:sz w:val="24"/>
          <w:szCs w:val="24"/>
        </w:rPr>
        <w:t xml:space="preserve"> </w:t>
      </w:r>
      <w:r w:rsidRPr="00AA67B0">
        <w:rPr>
          <w:rFonts w:ascii="Times New Roman" w:eastAsia="Times New Roman" w:hAnsi="Times New Roman" w:cs="Times New Roman"/>
          <w:color w:val="000000" w:themeColor="text1"/>
          <w:sz w:val="24"/>
          <w:szCs w:val="24"/>
        </w:rPr>
        <w:t xml:space="preserve">&amp; </w:t>
      </w:r>
      <w:r w:rsidR="004D1F5E" w:rsidRPr="00AA67B0">
        <w:rPr>
          <w:rFonts w:ascii="Times New Roman" w:eastAsia="Times New Roman" w:hAnsi="Times New Roman" w:cs="Times New Roman"/>
          <w:color w:val="000000" w:themeColor="text1"/>
          <w:sz w:val="24"/>
          <w:szCs w:val="24"/>
        </w:rPr>
        <w:t xml:space="preserve">Chess, 1991), single female social workers reported higher rates of burnout than those </w:t>
      </w:r>
      <w:r w:rsidRPr="00AA67B0">
        <w:rPr>
          <w:rFonts w:ascii="Times New Roman" w:eastAsia="Times New Roman" w:hAnsi="Times New Roman" w:cs="Times New Roman"/>
          <w:color w:val="000000" w:themeColor="text1"/>
          <w:sz w:val="24"/>
          <w:szCs w:val="24"/>
        </w:rPr>
        <w:t xml:space="preserve">who were </w:t>
      </w:r>
      <w:r w:rsidR="004D1F5E" w:rsidRPr="00AA67B0">
        <w:rPr>
          <w:rFonts w:ascii="Times New Roman" w:eastAsia="Times New Roman" w:hAnsi="Times New Roman" w:cs="Times New Roman"/>
          <w:color w:val="000000" w:themeColor="text1"/>
          <w:sz w:val="24"/>
          <w:szCs w:val="24"/>
        </w:rPr>
        <w:t xml:space="preserve">married. </w:t>
      </w:r>
    </w:p>
    <w:p w14:paraId="4EABE57D" w14:textId="79476AEF"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There </w:t>
      </w:r>
      <w:r w:rsidR="00867B74" w:rsidRPr="00AA67B0">
        <w:rPr>
          <w:rFonts w:ascii="Times New Roman" w:eastAsia="Times New Roman" w:hAnsi="Times New Roman" w:cs="Times New Roman"/>
          <w:color w:val="000000" w:themeColor="text1"/>
          <w:sz w:val="24"/>
          <w:szCs w:val="24"/>
        </w:rPr>
        <w:t xml:space="preserve">are </w:t>
      </w:r>
      <w:r w:rsidRPr="00AA67B0">
        <w:rPr>
          <w:rFonts w:ascii="Times New Roman" w:eastAsia="Times New Roman" w:hAnsi="Times New Roman" w:cs="Times New Roman"/>
          <w:color w:val="000000" w:themeColor="text1"/>
          <w:sz w:val="24"/>
          <w:szCs w:val="24"/>
        </w:rPr>
        <w:t xml:space="preserve">a smaller number of studies </w:t>
      </w:r>
      <w:r w:rsidR="00867B74" w:rsidRPr="00AA67B0">
        <w:rPr>
          <w:rFonts w:ascii="Times New Roman" w:eastAsia="Times New Roman" w:hAnsi="Times New Roman" w:cs="Times New Roman"/>
          <w:color w:val="000000" w:themeColor="text1"/>
          <w:sz w:val="24"/>
          <w:szCs w:val="24"/>
        </w:rPr>
        <w:t xml:space="preserve">that </w:t>
      </w:r>
      <w:r w:rsidRPr="00AA67B0">
        <w:rPr>
          <w:rFonts w:ascii="Times New Roman" w:eastAsia="Times New Roman" w:hAnsi="Times New Roman" w:cs="Times New Roman"/>
          <w:color w:val="000000" w:themeColor="text1"/>
          <w:sz w:val="24"/>
          <w:szCs w:val="24"/>
        </w:rPr>
        <w:t xml:space="preserve">have focused on the relationship between having children and burnout. In general, the results support the existence of lower levels of burnout in people who have children compared to those who do not. Fuqua </w:t>
      </w:r>
      <w:r w:rsidR="00867B74" w:rsidRPr="00AA67B0">
        <w:rPr>
          <w:rFonts w:ascii="Times New Roman" w:eastAsia="Times New Roman" w:hAnsi="Times New Roman" w:cs="Times New Roman"/>
          <w:color w:val="000000" w:themeColor="text1"/>
          <w:sz w:val="24"/>
          <w:szCs w:val="24"/>
        </w:rPr>
        <w:t xml:space="preserve">and </w:t>
      </w:r>
      <w:r w:rsidRPr="00AA67B0">
        <w:rPr>
          <w:rFonts w:ascii="Times New Roman" w:eastAsia="Times New Roman" w:hAnsi="Times New Roman" w:cs="Times New Roman"/>
          <w:color w:val="000000" w:themeColor="text1"/>
          <w:sz w:val="24"/>
          <w:szCs w:val="24"/>
        </w:rPr>
        <w:t xml:space="preserve">Couture (1986), using the </w:t>
      </w:r>
      <w:r w:rsidR="00C83439" w:rsidRPr="00AA67B0">
        <w:rPr>
          <w:rFonts w:ascii="Times New Roman" w:eastAsia="Times New Roman" w:hAnsi="Times New Roman" w:cs="Times New Roman"/>
          <w:color w:val="000000" w:themeColor="text1"/>
          <w:sz w:val="24"/>
          <w:szCs w:val="24"/>
        </w:rPr>
        <w:t>Maslach Burnout Inventory (</w:t>
      </w:r>
      <w:r w:rsidRPr="00AA67B0">
        <w:rPr>
          <w:rFonts w:ascii="Times New Roman" w:eastAsia="Times New Roman" w:hAnsi="Times New Roman" w:cs="Times New Roman"/>
          <w:color w:val="000000" w:themeColor="text1"/>
          <w:sz w:val="24"/>
          <w:szCs w:val="24"/>
        </w:rPr>
        <w:t>MBI</w:t>
      </w:r>
      <w:r w:rsidR="00C83439"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conclude that married, older subjects with children experience less burnout than those who are not married, younger and without children. Grigsby </w:t>
      </w:r>
      <w:r w:rsidR="00867B74" w:rsidRPr="00AA67B0">
        <w:rPr>
          <w:rFonts w:ascii="Times New Roman" w:eastAsia="Times New Roman" w:hAnsi="Times New Roman" w:cs="Times New Roman"/>
          <w:color w:val="000000" w:themeColor="text1"/>
          <w:sz w:val="24"/>
          <w:szCs w:val="24"/>
        </w:rPr>
        <w:t xml:space="preserve">and </w:t>
      </w:r>
      <w:r w:rsidRPr="00AA67B0">
        <w:rPr>
          <w:rFonts w:ascii="Times New Roman" w:eastAsia="Times New Roman" w:hAnsi="Times New Roman" w:cs="Times New Roman"/>
          <w:color w:val="000000" w:themeColor="text1"/>
          <w:sz w:val="24"/>
          <w:szCs w:val="24"/>
        </w:rPr>
        <w:t>McKnew (1988) conclude that there is a positive and significant relationship between the number of children of the subject and the level of burnout experienced.</w:t>
      </w:r>
    </w:p>
    <w:p w14:paraId="338FD995" w14:textId="34F10148"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There is scarce scientific literature on the incidence of </w:t>
      </w:r>
      <w:r w:rsidR="00347BD6" w:rsidRPr="00AA67B0">
        <w:rPr>
          <w:rFonts w:ascii="Times New Roman" w:eastAsia="Times New Roman" w:hAnsi="Times New Roman" w:cs="Times New Roman"/>
          <w:color w:val="000000" w:themeColor="text1"/>
          <w:sz w:val="24"/>
          <w:szCs w:val="24"/>
        </w:rPr>
        <w:t>part-time or full-time employment status</w:t>
      </w:r>
      <w:r w:rsidRPr="00AA67B0">
        <w:rPr>
          <w:rFonts w:ascii="Times New Roman" w:eastAsia="Times New Roman" w:hAnsi="Times New Roman" w:cs="Times New Roman"/>
          <w:color w:val="000000" w:themeColor="text1"/>
          <w:sz w:val="24"/>
          <w:szCs w:val="24"/>
        </w:rPr>
        <w:t xml:space="preserve"> </w:t>
      </w:r>
      <w:r w:rsidR="00347BD6" w:rsidRPr="00AA67B0">
        <w:rPr>
          <w:rFonts w:ascii="Times New Roman" w:eastAsia="Times New Roman" w:hAnsi="Times New Roman" w:cs="Times New Roman"/>
          <w:color w:val="000000" w:themeColor="text1"/>
          <w:sz w:val="24"/>
          <w:szCs w:val="24"/>
        </w:rPr>
        <w:t xml:space="preserve">and </w:t>
      </w:r>
      <w:r w:rsidRPr="00AA67B0">
        <w:rPr>
          <w:rFonts w:ascii="Times New Roman" w:eastAsia="Times New Roman" w:hAnsi="Times New Roman" w:cs="Times New Roman"/>
          <w:color w:val="000000" w:themeColor="text1"/>
          <w:sz w:val="24"/>
          <w:szCs w:val="24"/>
        </w:rPr>
        <w:t>burnout. However,</w:t>
      </w:r>
      <w:r w:rsidR="00DD3384" w:rsidRPr="00AA67B0">
        <w:rPr>
          <w:rFonts w:ascii="Times New Roman" w:eastAsia="Times New Roman" w:hAnsi="Times New Roman" w:cs="Times New Roman"/>
          <w:color w:val="000000" w:themeColor="text1"/>
          <w:sz w:val="24"/>
          <w:szCs w:val="24"/>
        </w:rPr>
        <w:t xml:space="preserve"> </w:t>
      </w:r>
      <w:r w:rsidRPr="00AA67B0">
        <w:rPr>
          <w:rFonts w:ascii="Times New Roman" w:eastAsia="Times New Roman" w:hAnsi="Times New Roman" w:cs="Times New Roman"/>
          <w:color w:val="000000" w:themeColor="text1"/>
          <w:sz w:val="24"/>
          <w:szCs w:val="24"/>
        </w:rPr>
        <w:t xml:space="preserve">it has been </w:t>
      </w:r>
      <w:r w:rsidR="00347BD6" w:rsidRPr="00AA67B0">
        <w:rPr>
          <w:rFonts w:ascii="Times New Roman" w:eastAsia="Times New Roman" w:hAnsi="Times New Roman" w:cs="Times New Roman"/>
          <w:color w:val="000000" w:themeColor="text1"/>
          <w:sz w:val="24"/>
          <w:szCs w:val="24"/>
        </w:rPr>
        <w:t>indicated</w:t>
      </w:r>
      <w:r w:rsidRPr="00AA67B0">
        <w:rPr>
          <w:rFonts w:ascii="Times New Roman" w:eastAsia="Times New Roman" w:hAnsi="Times New Roman" w:cs="Times New Roman"/>
          <w:color w:val="000000" w:themeColor="text1"/>
          <w:sz w:val="24"/>
          <w:szCs w:val="24"/>
        </w:rPr>
        <w:t xml:space="preserve"> </w:t>
      </w:r>
      <w:r w:rsidR="00347BD6" w:rsidRPr="00AA67B0">
        <w:rPr>
          <w:rFonts w:ascii="Times New Roman" w:eastAsia="Times New Roman" w:hAnsi="Times New Roman" w:cs="Times New Roman"/>
          <w:color w:val="000000" w:themeColor="text1"/>
          <w:sz w:val="24"/>
          <w:szCs w:val="24"/>
        </w:rPr>
        <w:t xml:space="preserve">that full-time employment is </w:t>
      </w:r>
      <w:r w:rsidRPr="00AA67B0">
        <w:rPr>
          <w:rFonts w:ascii="Times New Roman" w:eastAsia="Times New Roman" w:hAnsi="Times New Roman" w:cs="Times New Roman"/>
          <w:color w:val="000000" w:themeColor="text1"/>
          <w:sz w:val="24"/>
          <w:szCs w:val="24"/>
        </w:rPr>
        <w:t>an important stressor for the</w:t>
      </w:r>
      <w:r w:rsidR="00867B74" w:rsidRPr="00AA67B0">
        <w:rPr>
          <w:rFonts w:ascii="Times New Roman" w:eastAsia="Times New Roman" w:hAnsi="Times New Roman" w:cs="Times New Roman"/>
          <w:color w:val="000000" w:themeColor="text1"/>
          <w:sz w:val="24"/>
          <w:szCs w:val="24"/>
        </w:rPr>
        <w:t xml:space="preserve"> majority of</w:t>
      </w:r>
      <w:r w:rsidRPr="00AA67B0">
        <w:rPr>
          <w:rFonts w:ascii="Times New Roman" w:eastAsia="Times New Roman" w:hAnsi="Times New Roman" w:cs="Times New Roman"/>
          <w:color w:val="000000" w:themeColor="text1"/>
          <w:sz w:val="24"/>
          <w:szCs w:val="24"/>
        </w:rPr>
        <w:t xml:space="preserve"> workers affected by </w:t>
      </w:r>
      <w:r w:rsidR="00347BD6" w:rsidRPr="00AA67B0">
        <w:rPr>
          <w:rFonts w:ascii="Times New Roman" w:eastAsia="Times New Roman" w:hAnsi="Times New Roman" w:cs="Times New Roman"/>
          <w:color w:val="000000" w:themeColor="text1"/>
          <w:sz w:val="24"/>
          <w:szCs w:val="24"/>
        </w:rPr>
        <w:t xml:space="preserve">work stress </w:t>
      </w:r>
      <w:r w:rsidRPr="00AA67B0">
        <w:rPr>
          <w:rFonts w:ascii="Times New Roman" w:eastAsia="Times New Roman" w:hAnsi="Times New Roman" w:cs="Times New Roman"/>
          <w:color w:val="000000" w:themeColor="text1"/>
          <w:sz w:val="24"/>
          <w:szCs w:val="24"/>
        </w:rPr>
        <w:t xml:space="preserve">(Peiró, 1992). Mor </w:t>
      </w:r>
      <w:r w:rsidR="00867B74" w:rsidRPr="00AA67B0">
        <w:rPr>
          <w:rFonts w:ascii="Times New Roman" w:eastAsia="Times New Roman" w:hAnsi="Times New Roman" w:cs="Times New Roman"/>
          <w:color w:val="000000" w:themeColor="text1"/>
          <w:sz w:val="24"/>
          <w:szCs w:val="24"/>
        </w:rPr>
        <w:t xml:space="preserve">and </w:t>
      </w:r>
      <w:r w:rsidRPr="00AA67B0">
        <w:rPr>
          <w:rFonts w:ascii="Times New Roman" w:eastAsia="Times New Roman" w:hAnsi="Times New Roman" w:cs="Times New Roman"/>
          <w:color w:val="000000" w:themeColor="text1"/>
          <w:sz w:val="24"/>
          <w:szCs w:val="24"/>
        </w:rPr>
        <w:t xml:space="preserve">Laliberte (1984), when examining the components of burnout among those who work with the terminally ill, discovered a higher burnout rate than the average among employees with high levels of education and full time </w:t>
      </w:r>
      <w:r w:rsidR="00347BD6" w:rsidRPr="00AA67B0">
        <w:rPr>
          <w:rFonts w:ascii="Times New Roman" w:eastAsia="Times New Roman" w:hAnsi="Times New Roman" w:cs="Times New Roman"/>
          <w:color w:val="000000" w:themeColor="text1"/>
          <w:sz w:val="24"/>
          <w:szCs w:val="24"/>
        </w:rPr>
        <w:t>employment status</w:t>
      </w:r>
      <w:r w:rsidRPr="00AA67B0">
        <w:rPr>
          <w:rFonts w:ascii="Times New Roman" w:eastAsia="Times New Roman" w:hAnsi="Times New Roman" w:cs="Times New Roman"/>
          <w:color w:val="000000" w:themeColor="text1"/>
          <w:sz w:val="24"/>
          <w:szCs w:val="24"/>
        </w:rPr>
        <w:t xml:space="preserve">. </w:t>
      </w:r>
    </w:p>
    <w:p w14:paraId="309AF58F" w14:textId="34308FED"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The work sector is a fundamental element in the development of burnout</w:t>
      </w:r>
      <w:r w:rsidR="00867B74"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Shinn</w:t>
      </w:r>
      <w:r w:rsidR="001E6CBD" w:rsidRPr="00AA67B0">
        <w:rPr>
          <w:rFonts w:ascii="Times New Roman" w:eastAsia="Times New Roman" w:hAnsi="Times New Roman" w:cs="Times New Roman"/>
          <w:color w:val="000000" w:themeColor="text1"/>
          <w:sz w:val="24"/>
          <w:szCs w:val="24"/>
        </w:rPr>
        <w:t>, Morch and Chestnut</w:t>
      </w:r>
      <w:r w:rsidRPr="00AA67B0">
        <w:rPr>
          <w:rFonts w:ascii="Times New Roman" w:eastAsia="Times New Roman" w:hAnsi="Times New Roman" w:cs="Times New Roman"/>
          <w:color w:val="000000" w:themeColor="text1"/>
          <w:sz w:val="24"/>
          <w:szCs w:val="24"/>
        </w:rPr>
        <w:t xml:space="preserve"> (1984) and Schwartz</w:t>
      </w:r>
      <w:r w:rsidR="001E6CBD" w:rsidRPr="00AA67B0">
        <w:rPr>
          <w:rFonts w:ascii="Times New Roman" w:eastAsia="Times New Roman" w:hAnsi="Times New Roman" w:cs="Times New Roman"/>
          <w:color w:val="000000" w:themeColor="text1"/>
          <w:sz w:val="24"/>
          <w:szCs w:val="24"/>
        </w:rPr>
        <w:t>, Tiamiyu and Dwyer</w:t>
      </w:r>
      <w:r w:rsidRPr="00AA67B0">
        <w:rPr>
          <w:rFonts w:ascii="Times New Roman" w:eastAsia="Times New Roman" w:hAnsi="Times New Roman" w:cs="Times New Roman"/>
          <w:color w:val="000000" w:themeColor="text1"/>
          <w:sz w:val="24"/>
          <w:szCs w:val="24"/>
        </w:rPr>
        <w:t xml:space="preserve"> (2007) found that social workers employed in private centres </w:t>
      </w:r>
      <w:r w:rsidR="00867B74" w:rsidRPr="00AA67B0">
        <w:rPr>
          <w:rFonts w:ascii="Times New Roman" w:eastAsia="Times New Roman" w:hAnsi="Times New Roman" w:cs="Times New Roman"/>
          <w:color w:val="000000" w:themeColor="text1"/>
          <w:sz w:val="24"/>
          <w:szCs w:val="24"/>
        </w:rPr>
        <w:t xml:space="preserve">had </w:t>
      </w:r>
      <w:r w:rsidRPr="00AA67B0">
        <w:rPr>
          <w:rFonts w:ascii="Times New Roman" w:eastAsia="Times New Roman" w:hAnsi="Times New Roman" w:cs="Times New Roman"/>
          <w:color w:val="000000" w:themeColor="text1"/>
          <w:sz w:val="24"/>
          <w:szCs w:val="24"/>
        </w:rPr>
        <w:t xml:space="preserve">lower burnout syndrome scores than those engaged in public centres. According to Acker (2010), social workers working in </w:t>
      </w:r>
      <w:r w:rsidR="00347BD6" w:rsidRPr="00AA67B0">
        <w:rPr>
          <w:rFonts w:ascii="Times New Roman" w:eastAsia="Times New Roman" w:hAnsi="Times New Roman" w:cs="Times New Roman"/>
          <w:color w:val="000000" w:themeColor="text1"/>
          <w:sz w:val="24"/>
          <w:szCs w:val="24"/>
        </w:rPr>
        <w:t xml:space="preserve">institutions under </w:t>
      </w:r>
      <w:r w:rsidRPr="00AA67B0">
        <w:rPr>
          <w:rFonts w:ascii="Times New Roman" w:eastAsia="Times New Roman" w:hAnsi="Times New Roman" w:cs="Times New Roman"/>
          <w:color w:val="000000" w:themeColor="text1"/>
          <w:sz w:val="24"/>
          <w:szCs w:val="24"/>
        </w:rPr>
        <w:t>public administration obtained higher levels in EE and DP, and low</w:t>
      </w:r>
      <w:r w:rsidR="00867B74" w:rsidRPr="00AA67B0">
        <w:rPr>
          <w:rFonts w:ascii="Times New Roman" w:eastAsia="Times New Roman" w:hAnsi="Times New Roman" w:cs="Times New Roman"/>
          <w:color w:val="000000" w:themeColor="text1"/>
          <w:sz w:val="24"/>
          <w:szCs w:val="24"/>
        </w:rPr>
        <w:t>er</w:t>
      </w:r>
      <w:r w:rsidRPr="00AA67B0">
        <w:rPr>
          <w:rFonts w:ascii="Times New Roman" w:eastAsia="Times New Roman" w:hAnsi="Times New Roman" w:cs="Times New Roman"/>
          <w:color w:val="000000" w:themeColor="text1"/>
          <w:sz w:val="24"/>
          <w:szCs w:val="24"/>
        </w:rPr>
        <w:t xml:space="preserve"> levels </w:t>
      </w:r>
      <w:r w:rsidR="00347BD6" w:rsidRPr="00AA67B0">
        <w:rPr>
          <w:rFonts w:ascii="Times New Roman" w:eastAsia="Times New Roman" w:hAnsi="Times New Roman" w:cs="Times New Roman"/>
          <w:color w:val="000000" w:themeColor="text1"/>
          <w:sz w:val="24"/>
          <w:szCs w:val="24"/>
        </w:rPr>
        <w:t xml:space="preserve">of </w:t>
      </w:r>
      <w:r w:rsidRPr="00AA67B0">
        <w:rPr>
          <w:rFonts w:ascii="Times New Roman" w:eastAsia="Times New Roman" w:hAnsi="Times New Roman" w:cs="Times New Roman"/>
          <w:color w:val="000000" w:themeColor="text1"/>
          <w:sz w:val="24"/>
          <w:szCs w:val="24"/>
        </w:rPr>
        <w:t>PA compared to those working in private institutions.</w:t>
      </w:r>
    </w:p>
    <w:p w14:paraId="43CB2CEA" w14:textId="2E94553D"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All of this may cause stress and give rise to burnout (Söderfeldt, Söderfeldt, &amp; Warg, 1995). Certain studies have focused specifically on exhaustion in this group (Abdallah, 2009). Such exhaustion may have serious consequences for social workers, their clients and service agencies. It </w:t>
      </w:r>
      <w:r w:rsidR="00867B74" w:rsidRPr="00AA67B0">
        <w:rPr>
          <w:rFonts w:ascii="Times New Roman" w:eastAsia="Times New Roman" w:hAnsi="Times New Roman" w:cs="Times New Roman"/>
          <w:color w:val="000000" w:themeColor="text1"/>
          <w:sz w:val="24"/>
          <w:szCs w:val="24"/>
        </w:rPr>
        <w:t xml:space="preserve">leads to </w:t>
      </w:r>
      <w:r w:rsidR="00F211B7" w:rsidRPr="00AA67B0">
        <w:rPr>
          <w:rFonts w:ascii="Times New Roman" w:eastAsia="Times New Roman" w:hAnsi="Times New Roman" w:cs="Times New Roman"/>
          <w:color w:val="000000" w:themeColor="text1"/>
          <w:sz w:val="24"/>
          <w:szCs w:val="24"/>
        </w:rPr>
        <w:t>deterioration</w:t>
      </w:r>
      <w:r w:rsidRPr="00AA67B0">
        <w:rPr>
          <w:rFonts w:ascii="Times New Roman" w:eastAsia="Times New Roman" w:hAnsi="Times New Roman" w:cs="Times New Roman"/>
          <w:color w:val="000000" w:themeColor="text1"/>
          <w:sz w:val="24"/>
          <w:szCs w:val="24"/>
        </w:rPr>
        <w:t xml:space="preserve"> in the quality of the service provided by social workers (Maslach &amp; Jackson, 1981), and may have an impact on the solutions given to clients’ problems as well as </w:t>
      </w:r>
      <w:r w:rsidR="00867B74" w:rsidRPr="00AA67B0">
        <w:rPr>
          <w:rFonts w:ascii="Times New Roman" w:eastAsia="Times New Roman" w:hAnsi="Times New Roman" w:cs="Times New Roman"/>
          <w:color w:val="000000" w:themeColor="text1"/>
          <w:sz w:val="24"/>
          <w:szCs w:val="24"/>
        </w:rPr>
        <w:t xml:space="preserve">negatively affecting </w:t>
      </w:r>
      <w:r w:rsidRPr="00AA67B0">
        <w:rPr>
          <w:rFonts w:ascii="Times New Roman" w:eastAsia="Times New Roman" w:hAnsi="Times New Roman" w:cs="Times New Roman"/>
          <w:color w:val="000000" w:themeColor="text1"/>
          <w:sz w:val="24"/>
          <w:szCs w:val="24"/>
        </w:rPr>
        <w:t>the outcome of the treatment. Finally, problems of exhaustion exacerbate the mental and physical problems suffered by workers and lead to increased staff turnover (Toppinen-Tanner, Kalimo, &amp; Mutanen, 2002).</w:t>
      </w:r>
    </w:p>
    <w:p w14:paraId="2791F627" w14:textId="1A5C7493"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The objective of this study was to estimate the prevalence of burnout syndrome in a sample of Spanish social workers and analyse the influence of a series of socio-demographic variables on the</w:t>
      </w:r>
      <w:r w:rsidR="00E738B8" w:rsidRPr="00AA67B0">
        <w:rPr>
          <w:rFonts w:ascii="Times New Roman" w:eastAsia="Times New Roman" w:hAnsi="Times New Roman" w:cs="Times New Roman"/>
          <w:color w:val="000000" w:themeColor="text1"/>
          <w:sz w:val="24"/>
          <w:szCs w:val="24"/>
        </w:rPr>
        <w:t xml:space="preserve"> </w:t>
      </w:r>
      <w:r w:rsidRPr="00AA67B0">
        <w:rPr>
          <w:rFonts w:ascii="Times New Roman" w:eastAsia="Times New Roman" w:hAnsi="Times New Roman" w:cs="Times New Roman"/>
          <w:color w:val="000000" w:themeColor="text1"/>
          <w:sz w:val="24"/>
          <w:szCs w:val="24"/>
        </w:rPr>
        <w:t xml:space="preserve">variance of the classic dimensions of burnout (EE, DP and lack of </w:t>
      </w:r>
      <w:r w:rsidR="0001072E" w:rsidRPr="00AA67B0">
        <w:rPr>
          <w:rFonts w:ascii="Times New Roman" w:eastAsia="Times New Roman" w:hAnsi="Times New Roman" w:cs="Times New Roman"/>
          <w:color w:val="000000" w:themeColor="text1"/>
          <w:sz w:val="24"/>
          <w:szCs w:val="24"/>
        </w:rPr>
        <w:t>PA</w:t>
      </w:r>
      <w:r w:rsidRPr="00AA67B0">
        <w:rPr>
          <w:rFonts w:ascii="Times New Roman" w:eastAsia="Times New Roman" w:hAnsi="Times New Roman" w:cs="Times New Roman"/>
          <w:color w:val="000000" w:themeColor="text1"/>
          <w:sz w:val="24"/>
          <w:szCs w:val="24"/>
        </w:rPr>
        <w:t xml:space="preserve"> by means of hierarchical regression.</w:t>
      </w:r>
    </w:p>
    <w:p w14:paraId="259CEC1E" w14:textId="77777777"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To do this, the following hypotheses were tested:</w:t>
      </w:r>
    </w:p>
    <w:p w14:paraId="101B0C59" w14:textId="77777777"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Hypothesis 1: Spanish social workers have high levels of burnout.</w:t>
      </w:r>
    </w:p>
    <w:p w14:paraId="78B576D0" w14:textId="6D84B72C"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lastRenderedPageBreak/>
        <w:t xml:space="preserve">Hypothesis 2: The </w:t>
      </w:r>
      <w:r w:rsidR="0001072E" w:rsidRPr="00AA67B0">
        <w:rPr>
          <w:rFonts w:ascii="Times New Roman" w:eastAsia="Times New Roman" w:hAnsi="Times New Roman" w:cs="Times New Roman"/>
          <w:color w:val="000000" w:themeColor="text1"/>
          <w:sz w:val="24"/>
          <w:szCs w:val="24"/>
        </w:rPr>
        <w:t xml:space="preserve">experience </w:t>
      </w:r>
      <w:r w:rsidRPr="00AA67B0">
        <w:rPr>
          <w:rFonts w:ascii="Times New Roman" w:eastAsia="Times New Roman" w:hAnsi="Times New Roman" w:cs="Times New Roman"/>
          <w:color w:val="000000" w:themeColor="text1"/>
          <w:sz w:val="24"/>
          <w:szCs w:val="24"/>
        </w:rPr>
        <w:t>of burnout</w:t>
      </w:r>
      <w:r w:rsidR="00DD3384" w:rsidRPr="00AA67B0">
        <w:rPr>
          <w:rFonts w:ascii="Times New Roman" w:eastAsia="Times New Roman" w:hAnsi="Times New Roman" w:cs="Times New Roman"/>
          <w:color w:val="000000" w:themeColor="text1"/>
          <w:sz w:val="24"/>
          <w:szCs w:val="24"/>
        </w:rPr>
        <w:t xml:space="preserve"> </w:t>
      </w:r>
      <w:r w:rsidRPr="00AA67B0">
        <w:rPr>
          <w:rFonts w:ascii="Times New Roman" w:eastAsia="Times New Roman" w:hAnsi="Times New Roman" w:cs="Times New Roman"/>
          <w:color w:val="000000" w:themeColor="text1"/>
          <w:sz w:val="24"/>
          <w:szCs w:val="24"/>
        </w:rPr>
        <w:t>will be correlated with biological, social and professional features as follows:</w:t>
      </w:r>
    </w:p>
    <w:p w14:paraId="649C0A83" w14:textId="17740999"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(a) Younger social workers who have been off work and </w:t>
      </w:r>
      <w:r w:rsidR="0060775F" w:rsidRPr="00AA67B0">
        <w:rPr>
          <w:rFonts w:ascii="Times New Roman" w:eastAsia="Times New Roman" w:hAnsi="Times New Roman" w:cs="Times New Roman"/>
          <w:color w:val="000000" w:themeColor="text1"/>
          <w:sz w:val="24"/>
          <w:szCs w:val="24"/>
        </w:rPr>
        <w:t xml:space="preserve">are </w:t>
      </w:r>
      <w:r w:rsidRPr="00AA67B0">
        <w:rPr>
          <w:rFonts w:ascii="Times New Roman" w:eastAsia="Times New Roman" w:hAnsi="Times New Roman" w:cs="Times New Roman"/>
          <w:color w:val="000000" w:themeColor="text1"/>
          <w:sz w:val="24"/>
          <w:szCs w:val="24"/>
        </w:rPr>
        <w:t>suffer</w:t>
      </w:r>
      <w:r w:rsidR="0060775F" w:rsidRPr="00AA67B0">
        <w:rPr>
          <w:rFonts w:ascii="Times New Roman" w:eastAsia="Times New Roman" w:hAnsi="Times New Roman" w:cs="Times New Roman"/>
          <w:color w:val="000000" w:themeColor="text1"/>
          <w:sz w:val="24"/>
          <w:szCs w:val="24"/>
        </w:rPr>
        <w:t>ing</w:t>
      </w:r>
      <w:r w:rsidRPr="00AA67B0">
        <w:rPr>
          <w:rFonts w:ascii="Times New Roman" w:eastAsia="Times New Roman" w:hAnsi="Times New Roman" w:cs="Times New Roman"/>
          <w:color w:val="000000" w:themeColor="text1"/>
          <w:sz w:val="24"/>
          <w:szCs w:val="24"/>
        </w:rPr>
        <w:t xml:space="preserve"> from a chronic illness </w:t>
      </w:r>
      <w:r w:rsidR="0060775F" w:rsidRPr="00AA67B0">
        <w:rPr>
          <w:rFonts w:ascii="Times New Roman" w:eastAsia="Times New Roman" w:hAnsi="Times New Roman" w:cs="Times New Roman"/>
          <w:color w:val="000000" w:themeColor="text1"/>
          <w:sz w:val="24"/>
          <w:szCs w:val="24"/>
        </w:rPr>
        <w:t xml:space="preserve">have higher levels of burnout </w:t>
      </w:r>
      <w:r w:rsidRPr="00AA67B0">
        <w:rPr>
          <w:rFonts w:ascii="Times New Roman" w:eastAsia="Times New Roman" w:hAnsi="Times New Roman" w:cs="Times New Roman"/>
          <w:color w:val="000000" w:themeColor="text1"/>
          <w:sz w:val="24"/>
          <w:szCs w:val="24"/>
        </w:rPr>
        <w:t>compared to older social workers who have not been off work and do not have chronic illness.</w:t>
      </w:r>
    </w:p>
    <w:p w14:paraId="514C34A8" w14:textId="59A0FABD"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(b) Social workers without a regular partner and without children </w:t>
      </w:r>
      <w:r w:rsidR="0060775F" w:rsidRPr="00AA67B0">
        <w:rPr>
          <w:rFonts w:ascii="Times New Roman" w:eastAsia="Times New Roman" w:hAnsi="Times New Roman" w:cs="Times New Roman"/>
          <w:color w:val="000000" w:themeColor="text1"/>
          <w:sz w:val="24"/>
          <w:szCs w:val="24"/>
        </w:rPr>
        <w:t xml:space="preserve">have a greater feeling of burnout </w:t>
      </w:r>
      <w:r w:rsidRPr="00AA67B0">
        <w:rPr>
          <w:rFonts w:ascii="Times New Roman" w:eastAsia="Times New Roman" w:hAnsi="Times New Roman" w:cs="Times New Roman"/>
          <w:color w:val="000000" w:themeColor="text1"/>
          <w:sz w:val="24"/>
          <w:szCs w:val="24"/>
        </w:rPr>
        <w:t xml:space="preserve">compared to social workers who have a regular partner and children. </w:t>
      </w:r>
    </w:p>
    <w:p w14:paraId="738CEE8A" w14:textId="36881C6A"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(c) Social workers who </w:t>
      </w:r>
      <w:r w:rsidR="0001072E" w:rsidRPr="00AA67B0">
        <w:rPr>
          <w:rFonts w:ascii="Times New Roman" w:eastAsia="Times New Roman" w:hAnsi="Times New Roman" w:cs="Times New Roman"/>
          <w:color w:val="000000" w:themeColor="text1"/>
          <w:sz w:val="24"/>
          <w:szCs w:val="24"/>
        </w:rPr>
        <w:t xml:space="preserve">conduct </w:t>
      </w:r>
      <w:r w:rsidRPr="00AA67B0">
        <w:rPr>
          <w:rFonts w:ascii="Times New Roman" w:eastAsia="Times New Roman" w:hAnsi="Times New Roman" w:cs="Times New Roman"/>
          <w:color w:val="000000" w:themeColor="text1"/>
          <w:sz w:val="24"/>
          <w:szCs w:val="24"/>
        </w:rPr>
        <w:t xml:space="preserve">their professional activity in community social services, </w:t>
      </w:r>
      <w:r w:rsidR="0001072E" w:rsidRPr="00AA67B0">
        <w:rPr>
          <w:rFonts w:ascii="Times New Roman" w:eastAsia="Times New Roman" w:hAnsi="Times New Roman" w:cs="Times New Roman"/>
          <w:color w:val="000000" w:themeColor="text1"/>
          <w:sz w:val="24"/>
          <w:szCs w:val="24"/>
        </w:rPr>
        <w:t xml:space="preserve">in </w:t>
      </w:r>
      <w:r w:rsidRPr="00AA67B0">
        <w:rPr>
          <w:rFonts w:ascii="Times New Roman" w:eastAsia="Times New Roman" w:hAnsi="Times New Roman" w:cs="Times New Roman"/>
          <w:color w:val="000000" w:themeColor="text1"/>
          <w:sz w:val="24"/>
          <w:szCs w:val="24"/>
        </w:rPr>
        <w:t xml:space="preserve">full-time </w:t>
      </w:r>
      <w:r w:rsidR="0001072E" w:rsidRPr="00AA67B0">
        <w:rPr>
          <w:rFonts w:ascii="Times New Roman" w:eastAsia="Times New Roman" w:hAnsi="Times New Roman" w:cs="Times New Roman"/>
          <w:color w:val="000000" w:themeColor="text1"/>
          <w:sz w:val="24"/>
          <w:szCs w:val="24"/>
        </w:rPr>
        <w:t>employment</w:t>
      </w:r>
      <w:r w:rsidRPr="00AA67B0">
        <w:rPr>
          <w:rFonts w:ascii="Times New Roman" w:eastAsia="Times New Roman" w:hAnsi="Times New Roman" w:cs="Times New Roman"/>
          <w:color w:val="000000" w:themeColor="text1"/>
          <w:sz w:val="24"/>
          <w:szCs w:val="24"/>
        </w:rPr>
        <w:t xml:space="preserve">, and in public administration </w:t>
      </w:r>
      <w:r w:rsidR="0060775F" w:rsidRPr="00AA67B0">
        <w:rPr>
          <w:rFonts w:ascii="Times New Roman" w:eastAsia="Times New Roman" w:hAnsi="Times New Roman" w:cs="Times New Roman"/>
          <w:color w:val="000000" w:themeColor="text1"/>
          <w:sz w:val="24"/>
          <w:szCs w:val="24"/>
        </w:rPr>
        <w:t xml:space="preserve">have higher levels of burnout </w:t>
      </w:r>
      <w:r w:rsidRPr="00AA67B0">
        <w:rPr>
          <w:rFonts w:ascii="Times New Roman" w:eastAsia="Times New Roman" w:hAnsi="Times New Roman" w:cs="Times New Roman"/>
          <w:color w:val="000000" w:themeColor="text1"/>
          <w:sz w:val="24"/>
          <w:szCs w:val="24"/>
        </w:rPr>
        <w:t>in comparison with social workers who work in speciali</w:t>
      </w:r>
      <w:r w:rsidR="00DD3384" w:rsidRPr="00AA67B0">
        <w:rPr>
          <w:rFonts w:ascii="Times New Roman" w:eastAsia="Times New Roman" w:hAnsi="Times New Roman" w:cs="Times New Roman"/>
          <w:color w:val="000000" w:themeColor="text1"/>
          <w:sz w:val="24"/>
          <w:szCs w:val="24"/>
        </w:rPr>
        <w:t>s</w:t>
      </w:r>
      <w:r w:rsidRPr="00AA67B0">
        <w:rPr>
          <w:rFonts w:ascii="Times New Roman" w:eastAsia="Times New Roman" w:hAnsi="Times New Roman" w:cs="Times New Roman"/>
          <w:color w:val="000000" w:themeColor="text1"/>
          <w:sz w:val="24"/>
          <w:szCs w:val="24"/>
        </w:rPr>
        <w:t xml:space="preserve">ed social services, </w:t>
      </w:r>
      <w:r w:rsidR="0001072E" w:rsidRPr="00AA67B0">
        <w:rPr>
          <w:rFonts w:ascii="Times New Roman" w:eastAsia="Times New Roman" w:hAnsi="Times New Roman" w:cs="Times New Roman"/>
          <w:color w:val="000000" w:themeColor="text1"/>
          <w:sz w:val="24"/>
          <w:szCs w:val="24"/>
        </w:rPr>
        <w:t xml:space="preserve">in </w:t>
      </w:r>
      <w:r w:rsidRPr="00AA67B0">
        <w:rPr>
          <w:rFonts w:ascii="Times New Roman" w:eastAsia="Times New Roman" w:hAnsi="Times New Roman" w:cs="Times New Roman"/>
          <w:color w:val="000000" w:themeColor="text1"/>
          <w:sz w:val="24"/>
          <w:szCs w:val="24"/>
        </w:rPr>
        <w:t xml:space="preserve">part-time </w:t>
      </w:r>
      <w:r w:rsidR="008322AF" w:rsidRPr="00AA67B0">
        <w:rPr>
          <w:rFonts w:ascii="Times New Roman" w:eastAsia="Times New Roman" w:hAnsi="Times New Roman" w:cs="Times New Roman"/>
          <w:color w:val="000000" w:themeColor="text1"/>
          <w:sz w:val="24"/>
          <w:szCs w:val="24"/>
        </w:rPr>
        <w:t>employment</w:t>
      </w:r>
      <w:r w:rsidRPr="00AA67B0">
        <w:rPr>
          <w:rFonts w:ascii="Times New Roman" w:eastAsia="Times New Roman" w:hAnsi="Times New Roman" w:cs="Times New Roman"/>
          <w:color w:val="000000" w:themeColor="text1"/>
          <w:sz w:val="24"/>
          <w:szCs w:val="24"/>
        </w:rPr>
        <w:t xml:space="preserve">, and in the private sector. </w:t>
      </w:r>
    </w:p>
    <w:p w14:paraId="00A8185A" w14:textId="77777777" w:rsidR="00EB56D6" w:rsidRPr="00AA67B0" w:rsidRDefault="00EB56D6">
      <w:pPr>
        <w:spacing w:after="0" w:line="360" w:lineRule="auto"/>
        <w:rPr>
          <w:rFonts w:ascii="Times New Roman" w:eastAsia="Times New Roman" w:hAnsi="Times New Roman" w:cs="Times New Roman"/>
          <w:color w:val="000000" w:themeColor="text1"/>
          <w:sz w:val="24"/>
          <w:szCs w:val="24"/>
        </w:rPr>
      </w:pPr>
    </w:p>
    <w:p w14:paraId="4BBADDAE" w14:textId="77777777" w:rsidR="00EB56D6" w:rsidRPr="00AA67B0" w:rsidRDefault="004D1F5E">
      <w:pPr>
        <w:spacing w:after="0" w:line="360" w:lineRule="auto"/>
        <w:rPr>
          <w:rFonts w:ascii="Times New Roman" w:eastAsia="Times New Roman" w:hAnsi="Times New Roman" w:cs="Times New Roman"/>
          <w:b/>
          <w:color w:val="000000" w:themeColor="text1"/>
          <w:sz w:val="24"/>
          <w:szCs w:val="24"/>
        </w:rPr>
      </w:pPr>
      <w:r w:rsidRPr="00AA67B0">
        <w:rPr>
          <w:rFonts w:ascii="Times New Roman" w:eastAsia="Times New Roman" w:hAnsi="Times New Roman" w:cs="Times New Roman"/>
          <w:b/>
          <w:color w:val="000000" w:themeColor="text1"/>
          <w:sz w:val="24"/>
          <w:szCs w:val="24"/>
        </w:rPr>
        <w:t>Method</w:t>
      </w:r>
    </w:p>
    <w:p w14:paraId="5AD743C3" w14:textId="77777777" w:rsidR="00EB56D6" w:rsidRPr="00AA67B0" w:rsidRDefault="00EB56D6">
      <w:pPr>
        <w:spacing w:after="0" w:line="360" w:lineRule="auto"/>
        <w:rPr>
          <w:rFonts w:ascii="Times New Roman" w:eastAsia="Times New Roman" w:hAnsi="Times New Roman" w:cs="Times New Roman"/>
          <w:b/>
          <w:color w:val="000000" w:themeColor="text1"/>
          <w:sz w:val="24"/>
          <w:szCs w:val="24"/>
        </w:rPr>
      </w:pPr>
    </w:p>
    <w:p w14:paraId="0F4F7632" w14:textId="77777777" w:rsidR="00EB56D6" w:rsidRPr="00AA67B0" w:rsidRDefault="004D1F5E">
      <w:pPr>
        <w:spacing w:after="0" w:line="360" w:lineRule="auto"/>
        <w:rPr>
          <w:rFonts w:ascii="Times New Roman" w:eastAsia="Times New Roman" w:hAnsi="Times New Roman" w:cs="Times New Roman"/>
          <w:b/>
          <w:i/>
          <w:color w:val="000000" w:themeColor="text1"/>
          <w:sz w:val="24"/>
          <w:szCs w:val="24"/>
        </w:rPr>
      </w:pPr>
      <w:r w:rsidRPr="00AA67B0">
        <w:rPr>
          <w:rFonts w:ascii="Times New Roman" w:eastAsia="Times New Roman" w:hAnsi="Times New Roman" w:cs="Times New Roman"/>
          <w:b/>
          <w:i/>
          <w:color w:val="000000" w:themeColor="text1"/>
          <w:sz w:val="24"/>
          <w:szCs w:val="24"/>
        </w:rPr>
        <w:t>Sample</w:t>
      </w:r>
    </w:p>
    <w:p w14:paraId="76761448" w14:textId="77777777" w:rsidR="00EB56D6" w:rsidRPr="00AA67B0" w:rsidRDefault="00EB56D6">
      <w:pPr>
        <w:spacing w:after="0" w:line="360" w:lineRule="auto"/>
        <w:rPr>
          <w:rFonts w:ascii="Times New Roman" w:eastAsia="Times New Roman" w:hAnsi="Times New Roman" w:cs="Times New Roman"/>
          <w:b/>
          <w:color w:val="000000" w:themeColor="text1"/>
          <w:sz w:val="24"/>
          <w:szCs w:val="24"/>
        </w:rPr>
      </w:pPr>
    </w:p>
    <w:p w14:paraId="2AF5103C" w14:textId="02292B03"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The participants of this study were a convenience sample composed of 947 social workers belonging to the 36 Professional Bodies</w:t>
      </w:r>
      <w:r w:rsidR="004C0917" w:rsidRPr="00AA67B0">
        <w:rPr>
          <w:rFonts w:ascii="Times New Roman" w:eastAsia="Times New Roman" w:hAnsi="Times New Roman" w:cs="Times New Roman"/>
          <w:color w:val="000000" w:themeColor="text1"/>
          <w:sz w:val="24"/>
          <w:szCs w:val="24"/>
          <w:vertAlign w:val="superscript"/>
        </w:rPr>
        <w:t>1</w:t>
      </w:r>
      <w:r w:rsidRPr="00AA67B0">
        <w:rPr>
          <w:rFonts w:ascii="Times New Roman" w:eastAsia="Times New Roman" w:hAnsi="Times New Roman" w:cs="Times New Roman"/>
          <w:color w:val="000000" w:themeColor="text1"/>
          <w:sz w:val="24"/>
          <w:szCs w:val="24"/>
        </w:rPr>
        <w:t xml:space="preserve"> in Spain. Of those 947 professionals, 861 were women (90.92%) and 86 men (9.08%). The average age was 39.45 years (SD = 8.9; range: 21-63). The average age of the women was 39.55 years (SD = 8.77) and that of the men was 39.34 (SD = 8.92</w:t>
      </w:r>
      <w:r w:rsidR="0060775F"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Significant differences were not seen in the variable age (t = 0.319; p = 0.575), taking into account the gender of the participants. Table 1 shows the socio-demographic characteristics of the study sample. The results obtained indicate that the study sample is similar to that of the general population of social workers in Spain, in terms of the variables of gender, age and professional experience, according to reports by Viscarret, Ballestero, Idareta </w:t>
      </w:r>
      <w:r w:rsidR="0060775F" w:rsidRPr="00AA67B0">
        <w:rPr>
          <w:rFonts w:ascii="Times New Roman" w:eastAsia="Times New Roman" w:hAnsi="Times New Roman" w:cs="Times New Roman"/>
          <w:color w:val="000000" w:themeColor="text1"/>
          <w:sz w:val="24"/>
          <w:szCs w:val="24"/>
        </w:rPr>
        <w:t xml:space="preserve">and </w:t>
      </w:r>
      <w:r w:rsidRPr="00AA67B0">
        <w:rPr>
          <w:rFonts w:ascii="Times New Roman" w:eastAsia="Times New Roman" w:hAnsi="Times New Roman" w:cs="Times New Roman"/>
          <w:color w:val="000000" w:themeColor="text1"/>
          <w:sz w:val="24"/>
          <w:szCs w:val="24"/>
        </w:rPr>
        <w:t>Úriz (2016). All the participants were volunteers and gave their informed consent.</w:t>
      </w:r>
      <w:r w:rsidRPr="00AA67B0">
        <w:rPr>
          <w:color w:val="000000" w:themeColor="text1"/>
        </w:rPr>
        <w:br w:type="page"/>
      </w:r>
    </w:p>
    <w:p w14:paraId="18763878" w14:textId="77777777" w:rsidR="00EB56D6" w:rsidRPr="00AA67B0" w:rsidRDefault="004D1F5E">
      <w:pPr>
        <w:rPr>
          <w:rFonts w:ascii="Times New Roman" w:eastAsia="Times New Roman" w:hAnsi="Times New Roman" w:cs="Times New Roman"/>
          <w:b/>
          <w:color w:val="000000" w:themeColor="text1"/>
          <w:sz w:val="24"/>
          <w:szCs w:val="24"/>
        </w:rPr>
      </w:pPr>
      <w:r w:rsidRPr="00AA67B0">
        <w:rPr>
          <w:rFonts w:ascii="Times New Roman" w:eastAsia="Times New Roman" w:hAnsi="Times New Roman" w:cs="Times New Roman"/>
          <w:b/>
          <w:color w:val="000000" w:themeColor="text1"/>
          <w:sz w:val="24"/>
          <w:szCs w:val="24"/>
        </w:rPr>
        <w:lastRenderedPageBreak/>
        <w:t xml:space="preserve">Table 1 </w:t>
      </w:r>
    </w:p>
    <w:p w14:paraId="0A611409" w14:textId="77777777" w:rsidR="00EB56D6" w:rsidRPr="00AA67B0" w:rsidRDefault="004D1F5E">
      <w:pPr>
        <w:rPr>
          <w:rFonts w:ascii="Times New Roman" w:eastAsia="Times New Roman" w:hAnsi="Times New Roman" w:cs="Times New Roman"/>
          <w:b/>
          <w:color w:val="000000" w:themeColor="text1"/>
          <w:sz w:val="24"/>
          <w:szCs w:val="24"/>
        </w:rPr>
      </w:pPr>
      <w:r w:rsidRPr="00AA67B0">
        <w:rPr>
          <w:rFonts w:ascii="Times New Roman" w:eastAsia="Times New Roman" w:hAnsi="Times New Roman" w:cs="Times New Roman"/>
          <w:b/>
          <w:color w:val="000000" w:themeColor="text1"/>
          <w:sz w:val="24"/>
          <w:szCs w:val="24"/>
        </w:rPr>
        <w:t>Characteristics of the sample (N = 947)</w:t>
      </w:r>
    </w:p>
    <w:tbl>
      <w:tblPr>
        <w:tblStyle w:val="a"/>
        <w:tblW w:w="9638" w:type="dxa"/>
        <w:jc w:val="center"/>
        <w:tblInd w:w="0" w:type="dxa"/>
        <w:tblLayout w:type="fixed"/>
        <w:tblLook w:val="0000" w:firstRow="0" w:lastRow="0" w:firstColumn="0" w:lastColumn="0" w:noHBand="0" w:noVBand="0"/>
      </w:tblPr>
      <w:tblGrid>
        <w:gridCol w:w="4977"/>
        <w:gridCol w:w="2350"/>
        <w:gridCol w:w="2311"/>
      </w:tblGrid>
      <w:tr w:rsidR="00EB56D6" w:rsidRPr="00AA67B0" w14:paraId="3954DD3B" w14:textId="77777777">
        <w:trPr>
          <w:trHeight w:val="340"/>
          <w:jc w:val="center"/>
        </w:trPr>
        <w:tc>
          <w:tcPr>
            <w:tcW w:w="4977" w:type="dxa"/>
            <w:tcBorders>
              <w:top w:val="single" w:sz="4" w:space="0" w:color="000000"/>
              <w:bottom w:val="single" w:sz="4" w:space="0" w:color="000000"/>
            </w:tcBorders>
            <w:vAlign w:val="center"/>
          </w:tcPr>
          <w:p w14:paraId="494A58D6" w14:textId="77777777" w:rsidR="00EB56D6" w:rsidRPr="00AA67B0" w:rsidRDefault="00EB56D6" w:rsidP="009E4F3A">
            <w:pPr>
              <w:spacing w:after="0" w:line="240" w:lineRule="atLeast"/>
              <w:rPr>
                <w:rFonts w:ascii="Times New Roman" w:eastAsia="Times New Roman" w:hAnsi="Times New Roman" w:cs="Times New Roman"/>
                <w:b/>
                <w:i/>
                <w:color w:val="000000" w:themeColor="text1"/>
                <w:sz w:val="18"/>
                <w:szCs w:val="18"/>
              </w:rPr>
            </w:pPr>
          </w:p>
        </w:tc>
        <w:tc>
          <w:tcPr>
            <w:tcW w:w="2350" w:type="dxa"/>
            <w:tcBorders>
              <w:top w:val="single" w:sz="4" w:space="0" w:color="000000"/>
              <w:bottom w:val="single" w:sz="4" w:space="0" w:color="000000"/>
            </w:tcBorders>
          </w:tcPr>
          <w:p w14:paraId="443EF317" w14:textId="77777777" w:rsidR="00EB56D6" w:rsidRPr="00AA67B0" w:rsidRDefault="004D1F5E" w:rsidP="009E4F3A">
            <w:pPr>
              <w:spacing w:after="0" w:line="240" w:lineRule="atLeast"/>
              <w:jc w:val="center"/>
              <w:rPr>
                <w:rFonts w:ascii="Times New Roman" w:eastAsia="Times New Roman" w:hAnsi="Times New Roman" w:cs="Times New Roman"/>
                <w:b/>
                <w:color w:val="000000" w:themeColor="text1"/>
                <w:sz w:val="18"/>
                <w:szCs w:val="18"/>
              </w:rPr>
            </w:pPr>
            <w:r w:rsidRPr="00AA67B0">
              <w:rPr>
                <w:rFonts w:ascii="Times New Roman" w:eastAsia="Times New Roman" w:hAnsi="Times New Roman" w:cs="Times New Roman"/>
                <w:b/>
                <w:color w:val="000000" w:themeColor="text1"/>
                <w:sz w:val="18"/>
                <w:szCs w:val="18"/>
              </w:rPr>
              <w:t>Frequency</w:t>
            </w:r>
          </w:p>
        </w:tc>
        <w:tc>
          <w:tcPr>
            <w:tcW w:w="2311" w:type="dxa"/>
            <w:tcBorders>
              <w:top w:val="single" w:sz="4" w:space="0" w:color="000000"/>
              <w:bottom w:val="single" w:sz="4" w:space="0" w:color="000000"/>
            </w:tcBorders>
          </w:tcPr>
          <w:p w14:paraId="3E00A208" w14:textId="77777777" w:rsidR="00EB56D6" w:rsidRPr="00AA67B0" w:rsidRDefault="004D1F5E" w:rsidP="009E4F3A">
            <w:pPr>
              <w:spacing w:after="0" w:line="240" w:lineRule="atLeast"/>
              <w:jc w:val="center"/>
              <w:rPr>
                <w:rFonts w:ascii="Times New Roman" w:eastAsia="Times New Roman" w:hAnsi="Times New Roman" w:cs="Times New Roman"/>
                <w:b/>
                <w:color w:val="000000" w:themeColor="text1"/>
                <w:sz w:val="18"/>
                <w:szCs w:val="18"/>
              </w:rPr>
            </w:pPr>
            <w:r w:rsidRPr="00AA67B0">
              <w:rPr>
                <w:rFonts w:ascii="Times New Roman" w:eastAsia="Times New Roman" w:hAnsi="Times New Roman" w:cs="Times New Roman"/>
                <w:b/>
                <w:color w:val="000000" w:themeColor="text1"/>
                <w:sz w:val="18"/>
                <w:szCs w:val="18"/>
              </w:rPr>
              <w:t>%</w:t>
            </w:r>
          </w:p>
        </w:tc>
      </w:tr>
      <w:tr w:rsidR="00EB56D6" w:rsidRPr="00AA67B0" w14:paraId="6D10B1C4" w14:textId="77777777">
        <w:trPr>
          <w:trHeight w:val="220"/>
          <w:jc w:val="center"/>
        </w:trPr>
        <w:tc>
          <w:tcPr>
            <w:tcW w:w="4977" w:type="dxa"/>
            <w:tcBorders>
              <w:top w:val="single" w:sz="4" w:space="0" w:color="000000"/>
            </w:tcBorders>
            <w:vAlign w:val="center"/>
          </w:tcPr>
          <w:p w14:paraId="07B7EF7D" w14:textId="77777777" w:rsidR="00EB56D6" w:rsidRPr="00AA67B0" w:rsidRDefault="004D1F5E" w:rsidP="009E4F3A">
            <w:pPr>
              <w:spacing w:after="0" w:line="240" w:lineRule="atLeast"/>
              <w:rPr>
                <w:rFonts w:ascii="Times New Roman" w:eastAsia="Times New Roman" w:hAnsi="Times New Roman" w:cs="Times New Roman"/>
                <w:b/>
                <w:i/>
                <w:color w:val="000000" w:themeColor="text1"/>
                <w:sz w:val="18"/>
                <w:szCs w:val="18"/>
              </w:rPr>
            </w:pPr>
            <w:r w:rsidRPr="00AA67B0">
              <w:rPr>
                <w:rFonts w:ascii="Times New Roman" w:eastAsia="Times New Roman" w:hAnsi="Times New Roman" w:cs="Times New Roman"/>
                <w:b/>
                <w:i/>
                <w:color w:val="000000" w:themeColor="text1"/>
                <w:sz w:val="18"/>
                <w:szCs w:val="18"/>
              </w:rPr>
              <w:t>Gender</w:t>
            </w:r>
          </w:p>
        </w:tc>
        <w:tc>
          <w:tcPr>
            <w:tcW w:w="2350" w:type="dxa"/>
            <w:tcBorders>
              <w:top w:val="single" w:sz="4" w:space="0" w:color="000000"/>
            </w:tcBorders>
          </w:tcPr>
          <w:p w14:paraId="366B33BA" w14:textId="77777777" w:rsidR="00EB56D6" w:rsidRPr="00AA67B0" w:rsidRDefault="00EB56D6" w:rsidP="009E4F3A">
            <w:pPr>
              <w:spacing w:after="0" w:line="240" w:lineRule="atLeast"/>
              <w:jc w:val="center"/>
              <w:rPr>
                <w:rFonts w:ascii="Times New Roman" w:eastAsia="Times New Roman" w:hAnsi="Times New Roman" w:cs="Times New Roman"/>
                <w:b/>
                <w:color w:val="000000" w:themeColor="text1"/>
                <w:sz w:val="18"/>
                <w:szCs w:val="18"/>
              </w:rPr>
            </w:pPr>
          </w:p>
        </w:tc>
        <w:tc>
          <w:tcPr>
            <w:tcW w:w="2311" w:type="dxa"/>
            <w:tcBorders>
              <w:top w:val="single" w:sz="4" w:space="0" w:color="000000"/>
            </w:tcBorders>
          </w:tcPr>
          <w:p w14:paraId="49AC2B94" w14:textId="77777777" w:rsidR="00EB56D6" w:rsidRPr="00AA67B0" w:rsidRDefault="00EB56D6" w:rsidP="009E4F3A">
            <w:pPr>
              <w:spacing w:after="0" w:line="240" w:lineRule="atLeast"/>
              <w:jc w:val="center"/>
              <w:rPr>
                <w:rFonts w:ascii="Times New Roman" w:eastAsia="Times New Roman" w:hAnsi="Times New Roman" w:cs="Times New Roman"/>
                <w:b/>
                <w:color w:val="000000" w:themeColor="text1"/>
                <w:sz w:val="18"/>
                <w:szCs w:val="18"/>
              </w:rPr>
            </w:pPr>
          </w:p>
        </w:tc>
      </w:tr>
      <w:tr w:rsidR="00EB56D6" w:rsidRPr="00AA67B0" w14:paraId="50B8741C" w14:textId="77777777">
        <w:trPr>
          <w:trHeight w:val="220"/>
          <w:jc w:val="center"/>
        </w:trPr>
        <w:tc>
          <w:tcPr>
            <w:tcW w:w="4977" w:type="dxa"/>
            <w:vAlign w:val="center"/>
          </w:tcPr>
          <w:p w14:paraId="3480A6B6" w14:textId="77777777" w:rsidR="00EB56D6" w:rsidRPr="00AA67B0" w:rsidRDefault="004D1F5E" w:rsidP="009E4F3A">
            <w:pPr>
              <w:spacing w:after="0" w:line="240" w:lineRule="atLeast"/>
              <w:ind w:left="284"/>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Man</w:t>
            </w:r>
          </w:p>
        </w:tc>
        <w:tc>
          <w:tcPr>
            <w:tcW w:w="2350" w:type="dxa"/>
          </w:tcPr>
          <w:p w14:paraId="46886D5B"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86</w:t>
            </w:r>
          </w:p>
        </w:tc>
        <w:tc>
          <w:tcPr>
            <w:tcW w:w="2311" w:type="dxa"/>
          </w:tcPr>
          <w:p w14:paraId="7AD822B5"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9.08</w:t>
            </w:r>
          </w:p>
        </w:tc>
      </w:tr>
      <w:tr w:rsidR="00EB56D6" w:rsidRPr="00AA67B0" w14:paraId="6F6C2423" w14:textId="77777777">
        <w:trPr>
          <w:trHeight w:val="220"/>
          <w:jc w:val="center"/>
        </w:trPr>
        <w:tc>
          <w:tcPr>
            <w:tcW w:w="4977" w:type="dxa"/>
            <w:vAlign w:val="center"/>
          </w:tcPr>
          <w:p w14:paraId="4F4B47D6" w14:textId="77777777" w:rsidR="00EB56D6" w:rsidRPr="00AA67B0" w:rsidRDefault="004D1F5E" w:rsidP="009E4F3A">
            <w:pPr>
              <w:spacing w:after="0" w:line="240" w:lineRule="atLeast"/>
              <w:ind w:left="284"/>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Woman</w:t>
            </w:r>
          </w:p>
        </w:tc>
        <w:tc>
          <w:tcPr>
            <w:tcW w:w="2350" w:type="dxa"/>
          </w:tcPr>
          <w:p w14:paraId="160FCBA4"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861</w:t>
            </w:r>
          </w:p>
        </w:tc>
        <w:tc>
          <w:tcPr>
            <w:tcW w:w="2311" w:type="dxa"/>
          </w:tcPr>
          <w:p w14:paraId="7703FF75"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90.92</w:t>
            </w:r>
          </w:p>
        </w:tc>
      </w:tr>
      <w:tr w:rsidR="00EB56D6" w:rsidRPr="00AA67B0" w14:paraId="3DC3E27F" w14:textId="77777777">
        <w:trPr>
          <w:trHeight w:val="220"/>
          <w:jc w:val="center"/>
        </w:trPr>
        <w:tc>
          <w:tcPr>
            <w:tcW w:w="4977" w:type="dxa"/>
            <w:vAlign w:val="center"/>
          </w:tcPr>
          <w:p w14:paraId="22B33DA4" w14:textId="77777777" w:rsidR="00EB56D6" w:rsidRPr="00AA67B0" w:rsidRDefault="004D1F5E" w:rsidP="009E4F3A">
            <w:pPr>
              <w:spacing w:after="0" w:line="240" w:lineRule="atLeast"/>
              <w:rPr>
                <w:rFonts w:ascii="Times New Roman" w:eastAsia="Times New Roman" w:hAnsi="Times New Roman" w:cs="Times New Roman"/>
                <w:b/>
                <w:i/>
                <w:color w:val="000000" w:themeColor="text1"/>
                <w:sz w:val="18"/>
                <w:szCs w:val="18"/>
              </w:rPr>
            </w:pPr>
            <w:r w:rsidRPr="00AA67B0">
              <w:rPr>
                <w:rFonts w:ascii="Times New Roman" w:eastAsia="Times New Roman" w:hAnsi="Times New Roman" w:cs="Times New Roman"/>
                <w:b/>
                <w:i/>
                <w:color w:val="000000" w:themeColor="text1"/>
                <w:sz w:val="18"/>
                <w:szCs w:val="18"/>
              </w:rPr>
              <w:t>Age</w:t>
            </w:r>
          </w:p>
        </w:tc>
        <w:tc>
          <w:tcPr>
            <w:tcW w:w="2350" w:type="dxa"/>
          </w:tcPr>
          <w:p w14:paraId="515077D8" w14:textId="77777777" w:rsidR="00EB56D6" w:rsidRPr="00AA67B0" w:rsidRDefault="00EB56D6" w:rsidP="009E4F3A">
            <w:pPr>
              <w:spacing w:after="0" w:line="240" w:lineRule="atLeast"/>
              <w:jc w:val="center"/>
              <w:rPr>
                <w:rFonts w:ascii="Times New Roman" w:eastAsia="Times New Roman" w:hAnsi="Times New Roman" w:cs="Times New Roman"/>
                <w:i/>
                <w:color w:val="000000" w:themeColor="text1"/>
                <w:sz w:val="18"/>
                <w:szCs w:val="18"/>
              </w:rPr>
            </w:pPr>
          </w:p>
        </w:tc>
        <w:tc>
          <w:tcPr>
            <w:tcW w:w="2311" w:type="dxa"/>
          </w:tcPr>
          <w:p w14:paraId="17128D50" w14:textId="77777777" w:rsidR="00EB56D6" w:rsidRPr="00AA67B0" w:rsidRDefault="00EB56D6" w:rsidP="009E4F3A">
            <w:pPr>
              <w:spacing w:after="0" w:line="240" w:lineRule="atLeast"/>
              <w:jc w:val="center"/>
              <w:rPr>
                <w:rFonts w:ascii="Times New Roman" w:eastAsia="Times New Roman" w:hAnsi="Times New Roman" w:cs="Times New Roman"/>
                <w:i/>
                <w:color w:val="000000" w:themeColor="text1"/>
                <w:sz w:val="18"/>
                <w:szCs w:val="18"/>
              </w:rPr>
            </w:pPr>
          </w:p>
        </w:tc>
      </w:tr>
      <w:tr w:rsidR="00EB56D6" w:rsidRPr="00AA67B0" w14:paraId="576D69AD" w14:textId="77777777">
        <w:trPr>
          <w:trHeight w:val="220"/>
          <w:jc w:val="center"/>
        </w:trPr>
        <w:tc>
          <w:tcPr>
            <w:tcW w:w="4977" w:type="dxa"/>
            <w:vAlign w:val="center"/>
          </w:tcPr>
          <w:p w14:paraId="1ED4F0F7" w14:textId="77777777" w:rsidR="00EB56D6" w:rsidRPr="00AA67B0" w:rsidRDefault="004D1F5E" w:rsidP="009E4F3A">
            <w:pPr>
              <w:spacing w:after="0" w:line="240" w:lineRule="atLeast"/>
              <w:ind w:left="284"/>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&lt;39</w:t>
            </w:r>
          </w:p>
        </w:tc>
        <w:tc>
          <w:tcPr>
            <w:tcW w:w="2350" w:type="dxa"/>
          </w:tcPr>
          <w:p w14:paraId="6A2CEA80"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508</w:t>
            </w:r>
          </w:p>
        </w:tc>
        <w:tc>
          <w:tcPr>
            <w:tcW w:w="2311" w:type="dxa"/>
          </w:tcPr>
          <w:p w14:paraId="582D283C"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53.64</w:t>
            </w:r>
          </w:p>
        </w:tc>
      </w:tr>
      <w:tr w:rsidR="00EB56D6" w:rsidRPr="00AA67B0" w14:paraId="082AB35F" w14:textId="77777777">
        <w:trPr>
          <w:trHeight w:val="220"/>
          <w:jc w:val="center"/>
        </w:trPr>
        <w:tc>
          <w:tcPr>
            <w:tcW w:w="4977" w:type="dxa"/>
            <w:vAlign w:val="center"/>
          </w:tcPr>
          <w:p w14:paraId="1B7BF08F" w14:textId="77777777" w:rsidR="00EB56D6" w:rsidRPr="00AA67B0" w:rsidRDefault="004D1F5E" w:rsidP="009E4F3A">
            <w:pPr>
              <w:spacing w:after="0" w:line="240" w:lineRule="atLeast"/>
              <w:ind w:left="284"/>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&gt;40</w:t>
            </w:r>
          </w:p>
        </w:tc>
        <w:tc>
          <w:tcPr>
            <w:tcW w:w="2350" w:type="dxa"/>
          </w:tcPr>
          <w:p w14:paraId="7CC86833"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439</w:t>
            </w:r>
          </w:p>
        </w:tc>
        <w:tc>
          <w:tcPr>
            <w:tcW w:w="2311" w:type="dxa"/>
          </w:tcPr>
          <w:p w14:paraId="2F526CF5"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46.36</w:t>
            </w:r>
          </w:p>
        </w:tc>
      </w:tr>
      <w:tr w:rsidR="00EB56D6" w:rsidRPr="00AA67B0" w14:paraId="7D126994" w14:textId="77777777">
        <w:trPr>
          <w:trHeight w:val="220"/>
          <w:jc w:val="center"/>
        </w:trPr>
        <w:tc>
          <w:tcPr>
            <w:tcW w:w="4977" w:type="dxa"/>
            <w:vAlign w:val="center"/>
          </w:tcPr>
          <w:p w14:paraId="692FF81C" w14:textId="77777777" w:rsidR="00EB56D6" w:rsidRPr="00AA67B0" w:rsidRDefault="004D1F5E" w:rsidP="009E4F3A">
            <w:pPr>
              <w:spacing w:after="0" w:line="240" w:lineRule="atLeast"/>
              <w:rPr>
                <w:rFonts w:ascii="Times New Roman" w:eastAsia="Times New Roman" w:hAnsi="Times New Roman" w:cs="Times New Roman"/>
                <w:b/>
                <w:i/>
                <w:color w:val="000000" w:themeColor="text1"/>
                <w:sz w:val="18"/>
                <w:szCs w:val="18"/>
              </w:rPr>
            </w:pPr>
            <w:r w:rsidRPr="00AA67B0">
              <w:rPr>
                <w:rFonts w:ascii="Times New Roman" w:eastAsia="Times New Roman" w:hAnsi="Times New Roman" w:cs="Times New Roman"/>
                <w:b/>
                <w:i/>
                <w:color w:val="000000" w:themeColor="text1"/>
                <w:sz w:val="18"/>
                <w:szCs w:val="18"/>
              </w:rPr>
              <w:t>Type of Cohabitation</w:t>
            </w:r>
          </w:p>
        </w:tc>
        <w:tc>
          <w:tcPr>
            <w:tcW w:w="2350" w:type="dxa"/>
          </w:tcPr>
          <w:p w14:paraId="704E37A4" w14:textId="77777777" w:rsidR="00EB56D6" w:rsidRPr="00AA67B0" w:rsidRDefault="00EB56D6" w:rsidP="009E4F3A">
            <w:pPr>
              <w:spacing w:after="0" w:line="240" w:lineRule="atLeast"/>
              <w:jc w:val="center"/>
              <w:rPr>
                <w:rFonts w:ascii="Times New Roman" w:eastAsia="Times New Roman" w:hAnsi="Times New Roman" w:cs="Times New Roman"/>
                <w:color w:val="000000" w:themeColor="text1"/>
                <w:sz w:val="18"/>
                <w:szCs w:val="18"/>
              </w:rPr>
            </w:pPr>
          </w:p>
        </w:tc>
        <w:tc>
          <w:tcPr>
            <w:tcW w:w="2311" w:type="dxa"/>
          </w:tcPr>
          <w:p w14:paraId="03B976E2" w14:textId="77777777" w:rsidR="00EB56D6" w:rsidRPr="00AA67B0" w:rsidRDefault="00EB56D6" w:rsidP="009E4F3A">
            <w:pPr>
              <w:spacing w:after="0" w:line="240" w:lineRule="atLeast"/>
              <w:jc w:val="center"/>
              <w:rPr>
                <w:rFonts w:ascii="Times New Roman" w:eastAsia="Times New Roman" w:hAnsi="Times New Roman" w:cs="Times New Roman"/>
                <w:color w:val="000000" w:themeColor="text1"/>
                <w:sz w:val="18"/>
                <w:szCs w:val="18"/>
              </w:rPr>
            </w:pPr>
          </w:p>
        </w:tc>
      </w:tr>
      <w:tr w:rsidR="00EB56D6" w:rsidRPr="00AA67B0" w14:paraId="0E0F78CA" w14:textId="77777777">
        <w:trPr>
          <w:trHeight w:val="220"/>
          <w:jc w:val="center"/>
        </w:trPr>
        <w:tc>
          <w:tcPr>
            <w:tcW w:w="4977" w:type="dxa"/>
            <w:vAlign w:val="center"/>
          </w:tcPr>
          <w:p w14:paraId="46695CC9" w14:textId="77777777" w:rsidR="00EB56D6" w:rsidRPr="00AA67B0" w:rsidRDefault="004D1F5E" w:rsidP="009E4F3A">
            <w:pPr>
              <w:spacing w:after="0" w:line="240" w:lineRule="atLeast"/>
              <w:ind w:left="284"/>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With a regular partner</w:t>
            </w:r>
          </w:p>
        </w:tc>
        <w:tc>
          <w:tcPr>
            <w:tcW w:w="2350" w:type="dxa"/>
          </w:tcPr>
          <w:p w14:paraId="531954F9"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661</w:t>
            </w:r>
          </w:p>
        </w:tc>
        <w:tc>
          <w:tcPr>
            <w:tcW w:w="2311" w:type="dxa"/>
            <w:vAlign w:val="center"/>
          </w:tcPr>
          <w:p w14:paraId="0DDDB904"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69.80</w:t>
            </w:r>
          </w:p>
        </w:tc>
      </w:tr>
      <w:tr w:rsidR="00EB56D6" w:rsidRPr="00AA67B0" w14:paraId="345D97FD" w14:textId="77777777">
        <w:trPr>
          <w:trHeight w:val="220"/>
          <w:jc w:val="center"/>
        </w:trPr>
        <w:tc>
          <w:tcPr>
            <w:tcW w:w="4977" w:type="dxa"/>
            <w:vAlign w:val="center"/>
          </w:tcPr>
          <w:p w14:paraId="0299A8EA" w14:textId="77777777" w:rsidR="00EB56D6" w:rsidRPr="00AA67B0" w:rsidRDefault="004D1F5E" w:rsidP="009E4F3A">
            <w:pPr>
              <w:spacing w:after="0" w:line="240" w:lineRule="atLeast"/>
              <w:ind w:left="284"/>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Without a regular partner</w:t>
            </w:r>
          </w:p>
        </w:tc>
        <w:tc>
          <w:tcPr>
            <w:tcW w:w="2350" w:type="dxa"/>
          </w:tcPr>
          <w:p w14:paraId="5BF1D014"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286</w:t>
            </w:r>
          </w:p>
        </w:tc>
        <w:tc>
          <w:tcPr>
            <w:tcW w:w="2311" w:type="dxa"/>
            <w:vAlign w:val="center"/>
          </w:tcPr>
          <w:p w14:paraId="66C87C83"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30.20</w:t>
            </w:r>
          </w:p>
        </w:tc>
      </w:tr>
      <w:tr w:rsidR="00EB56D6" w:rsidRPr="00AA67B0" w14:paraId="2FC70E0D" w14:textId="77777777">
        <w:trPr>
          <w:trHeight w:val="220"/>
          <w:jc w:val="center"/>
        </w:trPr>
        <w:tc>
          <w:tcPr>
            <w:tcW w:w="4977" w:type="dxa"/>
            <w:vAlign w:val="center"/>
          </w:tcPr>
          <w:p w14:paraId="059C9C0E" w14:textId="77777777" w:rsidR="00EB56D6" w:rsidRPr="00AA67B0" w:rsidRDefault="004D1F5E" w:rsidP="009E4F3A">
            <w:pPr>
              <w:spacing w:after="0" w:line="240" w:lineRule="atLeast"/>
              <w:rPr>
                <w:rFonts w:ascii="Times New Roman" w:eastAsia="Times New Roman" w:hAnsi="Times New Roman" w:cs="Times New Roman"/>
                <w:b/>
                <w:i/>
                <w:color w:val="000000" w:themeColor="text1"/>
                <w:sz w:val="18"/>
                <w:szCs w:val="18"/>
              </w:rPr>
            </w:pPr>
            <w:r w:rsidRPr="00AA67B0">
              <w:rPr>
                <w:rFonts w:ascii="Times New Roman" w:eastAsia="Times New Roman" w:hAnsi="Times New Roman" w:cs="Times New Roman"/>
                <w:b/>
                <w:i/>
                <w:color w:val="000000" w:themeColor="text1"/>
                <w:sz w:val="18"/>
                <w:szCs w:val="18"/>
              </w:rPr>
              <w:t>Having Children in the Home</w:t>
            </w:r>
          </w:p>
        </w:tc>
        <w:tc>
          <w:tcPr>
            <w:tcW w:w="2350" w:type="dxa"/>
          </w:tcPr>
          <w:p w14:paraId="641B8213" w14:textId="77777777" w:rsidR="00EB56D6" w:rsidRPr="00AA67B0" w:rsidRDefault="00EB56D6" w:rsidP="009E4F3A">
            <w:pPr>
              <w:spacing w:after="0" w:line="240" w:lineRule="atLeast"/>
              <w:jc w:val="center"/>
              <w:rPr>
                <w:rFonts w:ascii="Times New Roman" w:eastAsia="Times New Roman" w:hAnsi="Times New Roman" w:cs="Times New Roman"/>
                <w:color w:val="000000" w:themeColor="text1"/>
                <w:sz w:val="18"/>
                <w:szCs w:val="18"/>
              </w:rPr>
            </w:pPr>
          </w:p>
        </w:tc>
        <w:tc>
          <w:tcPr>
            <w:tcW w:w="2311" w:type="dxa"/>
            <w:vAlign w:val="center"/>
          </w:tcPr>
          <w:p w14:paraId="0E5A0D90" w14:textId="77777777" w:rsidR="00EB56D6" w:rsidRPr="00AA67B0" w:rsidRDefault="00EB56D6" w:rsidP="009E4F3A">
            <w:pPr>
              <w:spacing w:after="0" w:line="240" w:lineRule="atLeast"/>
              <w:jc w:val="center"/>
              <w:rPr>
                <w:rFonts w:ascii="Times New Roman" w:eastAsia="Times New Roman" w:hAnsi="Times New Roman" w:cs="Times New Roman"/>
                <w:color w:val="000000" w:themeColor="text1"/>
                <w:sz w:val="18"/>
                <w:szCs w:val="18"/>
              </w:rPr>
            </w:pPr>
          </w:p>
        </w:tc>
      </w:tr>
      <w:tr w:rsidR="00EB56D6" w:rsidRPr="00AA67B0" w14:paraId="369238EB" w14:textId="77777777">
        <w:trPr>
          <w:trHeight w:val="220"/>
          <w:jc w:val="center"/>
        </w:trPr>
        <w:tc>
          <w:tcPr>
            <w:tcW w:w="4977" w:type="dxa"/>
            <w:vAlign w:val="center"/>
          </w:tcPr>
          <w:p w14:paraId="0272E02B" w14:textId="77777777" w:rsidR="00EB56D6" w:rsidRPr="00AA67B0" w:rsidRDefault="004D1F5E" w:rsidP="009E4F3A">
            <w:pPr>
              <w:spacing w:after="0" w:line="240" w:lineRule="atLeast"/>
              <w:ind w:left="284"/>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Without children</w:t>
            </w:r>
          </w:p>
        </w:tc>
        <w:tc>
          <w:tcPr>
            <w:tcW w:w="2350" w:type="dxa"/>
          </w:tcPr>
          <w:p w14:paraId="0C0E8420"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489</w:t>
            </w:r>
          </w:p>
        </w:tc>
        <w:tc>
          <w:tcPr>
            <w:tcW w:w="2311" w:type="dxa"/>
            <w:vAlign w:val="center"/>
          </w:tcPr>
          <w:p w14:paraId="23EF8371"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51.64</w:t>
            </w:r>
          </w:p>
        </w:tc>
      </w:tr>
      <w:tr w:rsidR="00EB56D6" w:rsidRPr="00AA67B0" w14:paraId="10EC8003" w14:textId="77777777">
        <w:trPr>
          <w:trHeight w:val="220"/>
          <w:jc w:val="center"/>
        </w:trPr>
        <w:tc>
          <w:tcPr>
            <w:tcW w:w="4977" w:type="dxa"/>
            <w:vAlign w:val="center"/>
          </w:tcPr>
          <w:p w14:paraId="229E66C7" w14:textId="77777777" w:rsidR="00EB56D6" w:rsidRPr="00AA67B0" w:rsidRDefault="004D1F5E" w:rsidP="009E4F3A">
            <w:pPr>
              <w:spacing w:after="0" w:line="240" w:lineRule="atLeast"/>
              <w:ind w:left="284"/>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With children</w:t>
            </w:r>
          </w:p>
        </w:tc>
        <w:tc>
          <w:tcPr>
            <w:tcW w:w="2350" w:type="dxa"/>
          </w:tcPr>
          <w:p w14:paraId="31D9A288"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458</w:t>
            </w:r>
          </w:p>
        </w:tc>
        <w:tc>
          <w:tcPr>
            <w:tcW w:w="2311" w:type="dxa"/>
            <w:vAlign w:val="center"/>
          </w:tcPr>
          <w:p w14:paraId="053D04C4"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48.36</w:t>
            </w:r>
          </w:p>
        </w:tc>
      </w:tr>
      <w:tr w:rsidR="00EB56D6" w:rsidRPr="00AA67B0" w14:paraId="4A7364E9" w14:textId="77777777">
        <w:trPr>
          <w:trHeight w:val="220"/>
          <w:jc w:val="center"/>
        </w:trPr>
        <w:tc>
          <w:tcPr>
            <w:tcW w:w="4977" w:type="dxa"/>
            <w:shd w:val="clear" w:color="auto" w:fill="FFFFFF"/>
            <w:vAlign w:val="center"/>
          </w:tcPr>
          <w:p w14:paraId="5BF7BE64" w14:textId="77777777" w:rsidR="00EB56D6" w:rsidRPr="00AA67B0" w:rsidRDefault="004D1F5E" w:rsidP="009E4F3A">
            <w:pPr>
              <w:spacing w:after="0" w:line="240" w:lineRule="atLeast"/>
              <w:rPr>
                <w:rFonts w:ascii="Times New Roman" w:eastAsia="Times New Roman" w:hAnsi="Times New Roman" w:cs="Times New Roman"/>
                <w:b/>
                <w:i/>
                <w:color w:val="000000" w:themeColor="text1"/>
                <w:sz w:val="18"/>
                <w:szCs w:val="18"/>
              </w:rPr>
            </w:pPr>
            <w:r w:rsidRPr="00AA67B0">
              <w:rPr>
                <w:rFonts w:ascii="Times New Roman" w:eastAsia="Times New Roman" w:hAnsi="Times New Roman" w:cs="Times New Roman"/>
                <w:b/>
                <w:i/>
                <w:color w:val="000000" w:themeColor="text1"/>
                <w:sz w:val="18"/>
                <w:szCs w:val="18"/>
              </w:rPr>
              <w:t>Suffering from a Chronic Illness</w:t>
            </w:r>
          </w:p>
        </w:tc>
        <w:tc>
          <w:tcPr>
            <w:tcW w:w="2350" w:type="dxa"/>
            <w:shd w:val="clear" w:color="auto" w:fill="FFFFFF"/>
          </w:tcPr>
          <w:p w14:paraId="4A4FF139" w14:textId="77777777" w:rsidR="00EB56D6" w:rsidRPr="00AA67B0" w:rsidRDefault="00EB56D6" w:rsidP="009E4F3A">
            <w:pPr>
              <w:spacing w:after="0" w:line="240" w:lineRule="atLeast"/>
              <w:jc w:val="center"/>
              <w:rPr>
                <w:rFonts w:ascii="Times New Roman" w:eastAsia="Times New Roman" w:hAnsi="Times New Roman" w:cs="Times New Roman"/>
                <w:color w:val="000000" w:themeColor="text1"/>
                <w:sz w:val="18"/>
                <w:szCs w:val="18"/>
              </w:rPr>
            </w:pPr>
          </w:p>
        </w:tc>
        <w:tc>
          <w:tcPr>
            <w:tcW w:w="2311" w:type="dxa"/>
            <w:shd w:val="clear" w:color="auto" w:fill="FFFFFF"/>
            <w:vAlign w:val="center"/>
          </w:tcPr>
          <w:p w14:paraId="77E5EAF3" w14:textId="77777777" w:rsidR="00EB56D6" w:rsidRPr="00AA67B0" w:rsidRDefault="00EB56D6" w:rsidP="009E4F3A">
            <w:pPr>
              <w:spacing w:after="0" w:line="240" w:lineRule="atLeast"/>
              <w:jc w:val="center"/>
              <w:rPr>
                <w:rFonts w:ascii="Times New Roman" w:eastAsia="Times New Roman" w:hAnsi="Times New Roman" w:cs="Times New Roman"/>
                <w:color w:val="000000" w:themeColor="text1"/>
                <w:sz w:val="18"/>
                <w:szCs w:val="18"/>
              </w:rPr>
            </w:pPr>
          </w:p>
        </w:tc>
      </w:tr>
      <w:tr w:rsidR="00EB56D6" w:rsidRPr="00AA67B0" w14:paraId="17390441" w14:textId="77777777">
        <w:trPr>
          <w:trHeight w:val="220"/>
          <w:jc w:val="center"/>
        </w:trPr>
        <w:tc>
          <w:tcPr>
            <w:tcW w:w="4977" w:type="dxa"/>
            <w:shd w:val="clear" w:color="auto" w:fill="FFFFFF"/>
            <w:vAlign w:val="center"/>
          </w:tcPr>
          <w:p w14:paraId="47F32991" w14:textId="77777777" w:rsidR="00EB56D6" w:rsidRPr="00AA67B0" w:rsidRDefault="004D1F5E" w:rsidP="009E4F3A">
            <w:pPr>
              <w:spacing w:after="0" w:line="240" w:lineRule="atLeast"/>
              <w:ind w:left="284"/>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No</w:t>
            </w:r>
          </w:p>
        </w:tc>
        <w:tc>
          <w:tcPr>
            <w:tcW w:w="2350" w:type="dxa"/>
            <w:shd w:val="clear" w:color="auto" w:fill="FFFFFF"/>
          </w:tcPr>
          <w:p w14:paraId="568E813B"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773</w:t>
            </w:r>
          </w:p>
        </w:tc>
        <w:tc>
          <w:tcPr>
            <w:tcW w:w="2311" w:type="dxa"/>
            <w:shd w:val="clear" w:color="auto" w:fill="FFFFFF"/>
            <w:vAlign w:val="center"/>
          </w:tcPr>
          <w:p w14:paraId="3400A14E"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81.63</w:t>
            </w:r>
          </w:p>
        </w:tc>
      </w:tr>
      <w:tr w:rsidR="00EB56D6" w:rsidRPr="00AA67B0" w14:paraId="3965818C" w14:textId="77777777">
        <w:trPr>
          <w:trHeight w:val="220"/>
          <w:jc w:val="center"/>
        </w:trPr>
        <w:tc>
          <w:tcPr>
            <w:tcW w:w="4977" w:type="dxa"/>
            <w:shd w:val="clear" w:color="auto" w:fill="FFFFFF"/>
            <w:vAlign w:val="center"/>
          </w:tcPr>
          <w:p w14:paraId="01650011" w14:textId="77777777" w:rsidR="00EB56D6" w:rsidRPr="00AA67B0" w:rsidRDefault="004D1F5E" w:rsidP="009E4F3A">
            <w:pPr>
              <w:spacing w:after="0" w:line="240" w:lineRule="atLeast"/>
              <w:ind w:left="284"/>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Yes</w:t>
            </w:r>
          </w:p>
        </w:tc>
        <w:tc>
          <w:tcPr>
            <w:tcW w:w="2350" w:type="dxa"/>
            <w:shd w:val="clear" w:color="auto" w:fill="FFFFFF"/>
          </w:tcPr>
          <w:p w14:paraId="1AC04679"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174</w:t>
            </w:r>
          </w:p>
        </w:tc>
        <w:tc>
          <w:tcPr>
            <w:tcW w:w="2311" w:type="dxa"/>
            <w:shd w:val="clear" w:color="auto" w:fill="FFFFFF"/>
            <w:vAlign w:val="center"/>
          </w:tcPr>
          <w:p w14:paraId="5D5C4F92"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18.37</w:t>
            </w:r>
          </w:p>
        </w:tc>
      </w:tr>
      <w:tr w:rsidR="00EB56D6" w:rsidRPr="00AA67B0" w14:paraId="1A3F38A7" w14:textId="77777777">
        <w:trPr>
          <w:trHeight w:val="220"/>
          <w:jc w:val="center"/>
        </w:trPr>
        <w:tc>
          <w:tcPr>
            <w:tcW w:w="4977" w:type="dxa"/>
            <w:vAlign w:val="center"/>
          </w:tcPr>
          <w:p w14:paraId="0627B06E" w14:textId="77777777" w:rsidR="00EB56D6" w:rsidRPr="00AA67B0" w:rsidRDefault="004D1F5E" w:rsidP="009E4F3A">
            <w:pPr>
              <w:spacing w:after="0" w:line="240" w:lineRule="atLeast"/>
              <w:rPr>
                <w:rFonts w:ascii="Times New Roman" w:eastAsia="Times New Roman" w:hAnsi="Times New Roman" w:cs="Times New Roman"/>
                <w:b/>
                <w:i/>
                <w:color w:val="000000" w:themeColor="text1"/>
                <w:sz w:val="18"/>
                <w:szCs w:val="18"/>
              </w:rPr>
            </w:pPr>
            <w:r w:rsidRPr="00AA67B0">
              <w:rPr>
                <w:rFonts w:ascii="Times New Roman" w:eastAsia="Times New Roman" w:hAnsi="Times New Roman" w:cs="Times New Roman"/>
                <w:b/>
                <w:i/>
                <w:color w:val="000000" w:themeColor="text1"/>
                <w:sz w:val="18"/>
                <w:szCs w:val="18"/>
              </w:rPr>
              <w:t>Having Been on Sick Leave</w:t>
            </w:r>
          </w:p>
        </w:tc>
        <w:tc>
          <w:tcPr>
            <w:tcW w:w="2350" w:type="dxa"/>
          </w:tcPr>
          <w:p w14:paraId="3BA813E6" w14:textId="77777777" w:rsidR="00EB56D6" w:rsidRPr="00AA67B0" w:rsidRDefault="00EB56D6" w:rsidP="009E4F3A">
            <w:pPr>
              <w:spacing w:after="0" w:line="240" w:lineRule="atLeast"/>
              <w:jc w:val="center"/>
              <w:rPr>
                <w:rFonts w:ascii="Times New Roman" w:eastAsia="Times New Roman" w:hAnsi="Times New Roman" w:cs="Times New Roman"/>
                <w:color w:val="000000" w:themeColor="text1"/>
                <w:sz w:val="18"/>
                <w:szCs w:val="18"/>
              </w:rPr>
            </w:pPr>
          </w:p>
        </w:tc>
        <w:tc>
          <w:tcPr>
            <w:tcW w:w="2311" w:type="dxa"/>
            <w:vAlign w:val="center"/>
          </w:tcPr>
          <w:p w14:paraId="3A103147" w14:textId="77777777" w:rsidR="00EB56D6" w:rsidRPr="00AA67B0" w:rsidRDefault="00EB56D6" w:rsidP="009E4F3A">
            <w:pPr>
              <w:spacing w:after="0" w:line="240" w:lineRule="atLeast"/>
              <w:jc w:val="center"/>
              <w:rPr>
                <w:rFonts w:ascii="Times New Roman" w:eastAsia="Times New Roman" w:hAnsi="Times New Roman" w:cs="Times New Roman"/>
                <w:color w:val="000000" w:themeColor="text1"/>
                <w:sz w:val="18"/>
                <w:szCs w:val="18"/>
              </w:rPr>
            </w:pPr>
          </w:p>
        </w:tc>
      </w:tr>
      <w:tr w:rsidR="00EB56D6" w:rsidRPr="00AA67B0" w14:paraId="237D8266" w14:textId="77777777">
        <w:trPr>
          <w:trHeight w:val="220"/>
          <w:jc w:val="center"/>
        </w:trPr>
        <w:tc>
          <w:tcPr>
            <w:tcW w:w="4977" w:type="dxa"/>
            <w:vAlign w:val="center"/>
          </w:tcPr>
          <w:p w14:paraId="066D1991" w14:textId="77777777" w:rsidR="00EB56D6" w:rsidRPr="00AA67B0" w:rsidRDefault="004D1F5E" w:rsidP="009E4F3A">
            <w:pPr>
              <w:spacing w:after="0" w:line="240" w:lineRule="atLeast"/>
              <w:ind w:left="284"/>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Yes</w:t>
            </w:r>
          </w:p>
        </w:tc>
        <w:tc>
          <w:tcPr>
            <w:tcW w:w="2350" w:type="dxa"/>
          </w:tcPr>
          <w:p w14:paraId="227A7A50"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238</w:t>
            </w:r>
          </w:p>
        </w:tc>
        <w:tc>
          <w:tcPr>
            <w:tcW w:w="2311" w:type="dxa"/>
            <w:vAlign w:val="center"/>
          </w:tcPr>
          <w:p w14:paraId="4FB3101A"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25.13</w:t>
            </w:r>
          </w:p>
        </w:tc>
      </w:tr>
      <w:tr w:rsidR="00EB56D6" w:rsidRPr="00AA67B0" w14:paraId="100BF4D5" w14:textId="77777777">
        <w:trPr>
          <w:trHeight w:val="220"/>
          <w:jc w:val="center"/>
        </w:trPr>
        <w:tc>
          <w:tcPr>
            <w:tcW w:w="4977" w:type="dxa"/>
            <w:vAlign w:val="center"/>
          </w:tcPr>
          <w:p w14:paraId="21004B70" w14:textId="77777777" w:rsidR="00EB56D6" w:rsidRPr="00AA67B0" w:rsidRDefault="004D1F5E" w:rsidP="009E4F3A">
            <w:pPr>
              <w:spacing w:after="0" w:line="240" w:lineRule="atLeast"/>
              <w:ind w:left="284"/>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No</w:t>
            </w:r>
          </w:p>
        </w:tc>
        <w:tc>
          <w:tcPr>
            <w:tcW w:w="2350" w:type="dxa"/>
          </w:tcPr>
          <w:p w14:paraId="235ACD00"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709</w:t>
            </w:r>
          </w:p>
        </w:tc>
        <w:tc>
          <w:tcPr>
            <w:tcW w:w="2311" w:type="dxa"/>
            <w:vAlign w:val="center"/>
          </w:tcPr>
          <w:p w14:paraId="6D772D26"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74.87</w:t>
            </w:r>
          </w:p>
        </w:tc>
      </w:tr>
      <w:tr w:rsidR="00EB56D6" w:rsidRPr="00AA67B0" w14:paraId="7D2A644F" w14:textId="77777777">
        <w:trPr>
          <w:trHeight w:val="220"/>
          <w:jc w:val="center"/>
        </w:trPr>
        <w:tc>
          <w:tcPr>
            <w:tcW w:w="4977" w:type="dxa"/>
            <w:vAlign w:val="center"/>
          </w:tcPr>
          <w:p w14:paraId="35BC43C1" w14:textId="77777777" w:rsidR="00EB56D6" w:rsidRPr="00AA67B0" w:rsidRDefault="004D1F5E" w:rsidP="009E4F3A">
            <w:pPr>
              <w:spacing w:after="0" w:line="240" w:lineRule="atLeast"/>
              <w:rPr>
                <w:rFonts w:ascii="Times New Roman" w:eastAsia="Times New Roman" w:hAnsi="Times New Roman" w:cs="Times New Roman"/>
                <w:b/>
                <w:i/>
                <w:color w:val="000000" w:themeColor="text1"/>
                <w:sz w:val="18"/>
                <w:szCs w:val="18"/>
              </w:rPr>
            </w:pPr>
            <w:r w:rsidRPr="00AA67B0">
              <w:rPr>
                <w:rFonts w:ascii="Times New Roman" w:eastAsia="Times New Roman" w:hAnsi="Times New Roman" w:cs="Times New Roman"/>
                <w:b/>
                <w:i/>
                <w:color w:val="000000" w:themeColor="text1"/>
                <w:sz w:val="18"/>
                <w:szCs w:val="18"/>
              </w:rPr>
              <w:t>Work Sector</w:t>
            </w:r>
          </w:p>
        </w:tc>
        <w:tc>
          <w:tcPr>
            <w:tcW w:w="2350" w:type="dxa"/>
          </w:tcPr>
          <w:p w14:paraId="12801BAE" w14:textId="77777777" w:rsidR="00EB56D6" w:rsidRPr="00AA67B0" w:rsidRDefault="00EB56D6" w:rsidP="009E4F3A">
            <w:pPr>
              <w:spacing w:after="0" w:line="240" w:lineRule="atLeast"/>
              <w:jc w:val="center"/>
              <w:rPr>
                <w:rFonts w:ascii="Times New Roman" w:eastAsia="Times New Roman" w:hAnsi="Times New Roman" w:cs="Times New Roman"/>
                <w:color w:val="000000" w:themeColor="text1"/>
                <w:sz w:val="18"/>
                <w:szCs w:val="18"/>
              </w:rPr>
            </w:pPr>
          </w:p>
        </w:tc>
        <w:tc>
          <w:tcPr>
            <w:tcW w:w="2311" w:type="dxa"/>
            <w:vAlign w:val="center"/>
          </w:tcPr>
          <w:p w14:paraId="57B2B083" w14:textId="77777777" w:rsidR="00EB56D6" w:rsidRPr="00AA67B0" w:rsidRDefault="00EB56D6" w:rsidP="009E4F3A">
            <w:pPr>
              <w:spacing w:after="0" w:line="240" w:lineRule="atLeast"/>
              <w:jc w:val="center"/>
              <w:rPr>
                <w:rFonts w:ascii="Times New Roman" w:eastAsia="Times New Roman" w:hAnsi="Times New Roman" w:cs="Times New Roman"/>
                <w:color w:val="000000" w:themeColor="text1"/>
                <w:sz w:val="18"/>
                <w:szCs w:val="18"/>
              </w:rPr>
            </w:pPr>
          </w:p>
        </w:tc>
      </w:tr>
      <w:tr w:rsidR="00EB56D6" w:rsidRPr="00AA67B0" w14:paraId="4E85C357" w14:textId="77777777">
        <w:trPr>
          <w:trHeight w:val="220"/>
          <w:jc w:val="center"/>
        </w:trPr>
        <w:tc>
          <w:tcPr>
            <w:tcW w:w="4977" w:type="dxa"/>
            <w:vAlign w:val="center"/>
          </w:tcPr>
          <w:p w14:paraId="5E5718EB" w14:textId="77777777" w:rsidR="00EB56D6" w:rsidRPr="00AA67B0" w:rsidRDefault="004D1F5E" w:rsidP="009E4F3A">
            <w:pPr>
              <w:spacing w:after="0" w:line="240" w:lineRule="atLeast"/>
              <w:ind w:left="284"/>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Public administration</w:t>
            </w:r>
          </w:p>
        </w:tc>
        <w:tc>
          <w:tcPr>
            <w:tcW w:w="2350" w:type="dxa"/>
          </w:tcPr>
          <w:p w14:paraId="4E63D0B4"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613</w:t>
            </w:r>
          </w:p>
        </w:tc>
        <w:tc>
          <w:tcPr>
            <w:tcW w:w="2311" w:type="dxa"/>
            <w:vAlign w:val="center"/>
          </w:tcPr>
          <w:p w14:paraId="664A615B"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64.73</w:t>
            </w:r>
          </w:p>
        </w:tc>
      </w:tr>
      <w:tr w:rsidR="00EB56D6" w:rsidRPr="00AA67B0" w14:paraId="0C397DD7" w14:textId="77777777">
        <w:trPr>
          <w:trHeight w:val="220"/>
          <w:jc w:val="center"/>
        </w:trPr>
        <w:tc>
          <w:tcPr>
            <w:tcW w:w="4977" w:type="dxa"/>
            <w:vAlign w:val="center"/>
          </w:tcPr>
          <w:p w14:paraId="7CA3ADEE" w14:textId="77777777" w:rsidR="00EB56D6" w:rsidRPr="00AA67B0" w:rsidRDefault="004D1F5E" w:rsidP="009E4F3A">
            <w:pPr>
              <w:spacing w:after="0" w:line="240" w:lineRule="atLeast"/>
              <w:ind w:left="284"/>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Private sector</w:t>
            </w:r>
          </w:p>
        </w:tc>
        <w:tc>
          <w:tcPr>
            <w:tcW w:w="2350" w:type="dxa"/>
          </w:tcPr>
          <w:p w14:paraId="2E546EAF"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293</w:t>
            </w:r>
          </w:p>
        </w:tc>
        <w:tc>
          <w:tcPr>
            <w:tcW w:w="2311" w:type="dxa"/>
            <w:vAlign w:val="center"/>
          </w:tcPr>
          <w:p w14:paraId="782706B6"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35.27</w:t>
            </w:r>
          </w:p>
        </w:tc>
      </w:tr>
      <w:tr w:rsidR="00EB56D6" w:rsidRPr="00AA67B0" w14:paraId="6CACBBFC" w14:textId="77777777">
        <w:trPr>
          <w:trHeight w:val="220"/>
          <w:jc w:val="center"/>
        </w:trPr>
        <w:tc>
          <w:tcPr>
            <w:tcW w:w="4977" w:type="dxa"/>
            <w:vAlign w:val="center"/>
          </w:tcPr>
          <w:p w14:paraId="149D4F30" w14:textId="77777777" w:rsidR="00EB56D6" w:rsidRPr="00AA67B0" w:rsidRDefault="004D1F5E" w:rsidP="009E4F3A">
            <w:pPr>
              <w:spacing w:after="0" w:line="240" w:lineRule="atLeast"/>
              <w:rPr>
                <w:rFonts w:ascii="Times New Roman" w:eastAsia="Times New Roman" w:hAnsi="Times New Roman" w:cs="Times New Roman"/>
                <w:b/>
                <w:i/>
                <w:color w:val="000000" w:themeColor="text1"/>
                <w:sz w:val="18"/>
                <w:szCs w:val="18"/>
              </w:rPr>
            </w:pPr>
            <w:r w:rsidRPr="00AA67B0">
              <w:rPr>
                <w:rFonts w:ascii="Times New Roman" w:eastAsia="Times New Roman" w:hAnsi="Times New Roman" w:cs="Times New Roman"/>
                <w:b/>
                <w:i/>
                <w:color w:val="000000" w:themeColor="text1"/>
                <w:sz w:val="18"/>
                <w:szCs w:val="18"/>
              </w:rPr>
              <w:t>Sector of the Population Served</w:t>
            </w:r>
          </w:p>
        </w:tc>
        <w:tc>
          <w:tcPr>
            <w:tcW w:w="2350" w:type="dxa"/>
          </w:tcPr>
          <w:p w14:paraId="71F3B31C" w14:textId="77777777" w:rsidR="00EB56D6" w:rsidRPr="00AA67B0" w:rsidRDefault="00EB56D6" w:rsidP="009E4F3A">
            <w:pPr>
              <w:spacing w:after="0" w:line="240" w:lineRule="atLeast"/>
              <w:jc w:val="center"/>
              <w:rPr>
                <w:rFonts w:ascii="Times New Roman" w:eastAsia="Times New Roman" w:hAnsi="Times New Roman" w:cs="Times New Roman"/>
                <w:color w:val="000000" w:themeColor="text1"/>
                <w:sz w:val="18"/>
                <w:szCs w:val="18"/>
              </w:rPr>
            </w:pPr>
          </w:p>
        </w:tc>
        <w:tc>
          <w:tcPr>
            <w:tcW w:w="2311" w:type="dxa"/>
            <w:vAlign w:val="center"/>
          </w:tcPr>
          <w:p w14:paraId="2D2B2EBC" w14:textId="77777777" w:rsidR="00EB56D6" w:rsidRPr="00AA67B0" w:rsidRDefault="00EB56D6" w:rsidP="009E4F3A">
            <w:pPr>
              <w:spacing w:after="0" w:line="240" w:lineRule="atLeast"/>
              <w:jc w:val="center"/>
              <w:rPr>
                <w:rFonts w:ascii="Times New Roman" w:eastAsia="Times New Roman" w:hAnsi="Times New Roman" w:cs="Times New Roman"/>
                <w:color w:val="000000" w:themeColor="text1"/>
                <w:sz w:val="18"/>
                <w:szCs w:val="18"/>
              </w:rPr>
            </w:pPr>
          </w:p>
        </w:tc>
      </w:tr>
      <w:tr w:rsidR="00EB56D6" w:rsidRPr="00AA67B0" w14:paraId="29AA4D89" w14:textId="77777777">
        <w:trPr>
          <w:trHeight w:val="220"/>
          <w:jc w:val="center"/>
        </w:trPr>
        <w:tc>
          <w:tcPr>
            <w:tcW w:w="4977" w:type="dxa"/>
            <w:vAlign w:val="center"/>
          </w:tcPr>
          <w:p w14:paraId="39B49CA5" w14:textId="77777777" w:rsidR="00EB56D6" w:rsidRPr="00AA67B0" w:rsidRDefault="004D1F5E" w:rsidP="009E4F3A">
            <w:pPr>
              <w:spacing w:after="0" w:line="240" w:lineRule="atLeast"/>
              <w:ind w:left="284"/>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Community social services</w:t>
            </w:r>
          </w:p>
        </w:tc>
        <w:tc>
          <w:tcPr>
            <w:tcW w:w="2350" w:type="dxa"/>
          </w:tcPr>
          <w:p w14:paraId="60EA4792"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346</w:t>
            </w:r>
          </w:p>
        </w:tc>
        <w:tc>
          <w:tcPr>
            <w:tcW w:w="2311" w:type="dxa"/>
            <w:vAlign w:val="center"/>
          </w:tcPr>
          <w:p w14:paraId="16C89FE2"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36.54</w:t>
            </w:r>
          </w:p>
        </w:tc>
      </w:tr>
      <w:tr w:rsidR="00EB56D6" w:rsidRPr="00AA67B0" w14:paraId="79DBD2D6" w14:textId="77777777">
        <w:trPr>
          <w:trHeight w:val="220"/>
          <w:jc w:val="center"/>
        </w:trPr>
        <w:tc>
          <w:tcPr>
            <w:tcW w:w="4977" w:type="dxa"/>
            <w:vAlign w:val="center"/>
          </w:tcPr>
          <w:p w14:paraId="056D4F99" w14:textId="77777777" w:rsidR="00EB56D6" w:rsidRPr="00AA67B0" w:rsidRDefault="004D1F5E" w:rsidP="009E4F3A">
            <w:pPr>
              <w:spacing w:after="0" w:line="240" w:lineRule="atLeast"/>
              <w:ind w:left="284"/>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Specialised social services</w:t>
            </w:r>
          </w:p>
        </w:tc>
        <w:tc>
          <w:tcPr>
            <w:tcW w:w="2350" w:type="dxa"/>
          </w:tcPr>
          <w:p w14:paraId="4D93575B"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601</w:t>
            </w:r>
          </w:p>
        </w:tc>
        <w:tc>
          <w:tcPr>
            <w:tcW w:w="2311" w:type="dxa"/>
            <w:vAlign w:val="center"/>
          </w:tcPr>
          <w:p w14:paraId="288B0F6F"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63.46</w:t>
            </w:r>
          </w:p>
        </w:tc>
      </w:tr>
      <w:tr w:rsidR="00EB56D6" w:rsidRPr="00AA67B0" w14:paraId="3ADE7FF9" w14:textId="77777777">
        <w:trPr>
          <w:trHeight w:val="220"/>
          <w:jc w:val="center"/>
        </w:trPr>
        <w:tc>
          <w:tcPr>
            <w:tcW w:w="4977" w:type="dxa"/>
            <w:vAlign w:val="center"/>
          </w:tcPr>
          <w:p w14:paraId="013460D2" w14:textId="77777777" w:rsidR="00EB56D6" w:rsidRPr="00AA67B0" w:rsidRDefault="004D1F5E" w:rsidP="009E4F3A">
            <w:pPr>
              <w:spacing w:after="0" w:line="240" w:lineRule="atLeast"/>
              <w:rPr>
                <w:rFonts w:ascii="Times New Roman" w:eastAsia="Times New Roman" w:hAnsi="Times New Roman" w:cs="Times New Roman"/>
                <w:b/>
                <w:i/>
                <w:color w:val="000000" w:themeColor="text1"/>
                <w:sz w:val="18"/>
                <w:szCs w:val="18"/>
              </w:rPr>
            </w:pPr>
            <w:r w:rsidRPr="00AA67B0">
              <w:rPr>
                <w:rFonts w:ascii="Times New Roman" w:eastAsia="Times New Roman" w:hAnsi="Times New Roman" w:cs="Times New Roman"/>
                <w:b/>
                <w:i/>
                <w:color w:val="000000" w:themeColor="text1"/>
                <w:sz w:val="18"/>
                <w:szCs w:val="18"/>
              </w:rPr>
              <w:t>Working Relationship</w:t>
            </w:r>
          </w:p>
        </w:tc>
        <w:tc>
          <w:tcPr>
            <w:tcW w:w="2350" w:type="dxa"/>
          </w:tcPr>
          <w:p w14:paraId="5172FC2E" w14:textId="77777777" w:rsidR="00EB56D6" w:rsidRPr="00AA67B0" w:rsidRDefault="00EB56D6" w:rsidP="009E4F3A">
            <w:pPr>
              <w:spacing w:after="0" w:line="240" w:lineRule="atLeast"/>
              <w:jc w:val="center"/>
              <w:rPr>
                <w:rFonts w:ascii="Times New Roman" w:eastAsia="Times New Roman" w:hAnsi="Times New Roman" w:cs="Times New Roman"/>
                <w:color w:val="000000" w:themeColor="text1"/>
                <w:sz w:val="18"/>
                <w:szCs w:val="18"/>
              </w:rPr>
            </w:pPr>
          </w:p>
        </w:tc>
        <w:tc>
          <w:tcPr>
            <w:tcW w:w="2311" w:type="dxa"/>
            <w:vAlign w:val="center"/>
          </w:tcPr>
          <w:p w14:paraId="43414AC7" w14:textId="77777777" w:rsidR="00EB56D6" w:rsidRPr="00AA67B0" w:rsidRDefault="00EB56D6" w:rsidP="009E4F3A">
            <w:pPr>
              <w:spacing w:after="0" w:line="240" w:lineRule="atLeast"/>
              <w:jc w:val="center"/>
              <w:rPr>
                <w:rFonts w:ascii="Times New Roman" w:eastAsia="Times New Roman" w:hAnsi="Times New Roman" w:cs="Times New Roman"/>
                <w:color w:val="000000" w:themeColor="text1"/>
                <w:sz w:val="18"/>
                <w:szCs w:val="18"/>
              </w:rPr>
            </w:pPr>
          </w:p>
        </w:tc>
      </w:tr>
      <w:tr w:rsidR="00EB56D6" w:rsidRPr="00AA67B0" w14:paraId="5BB705B7" w14:textId="77777777">
        <w:trPr>
          <w:trHeight w:val="220"/>
          <w:jc w:val="center"/>
        </w:trPr>
        <w:tc>
          <w:tcPr>
            <w:tcW w:w="4977" w:type="dxa"/>
            <w:vAlign w:val="center"/>
          </w:tcPr>
          <w:p w14:paraId="04E03878" w14:textId="77777777" w:rsidR="00EB56D6" w:rsidRPr="00AA67B0" w:rsidRDefault="004D1F5E" w:rsidP="009E4F3A">
            <w:pPr>
              <w:spacing w:after="0" w:line="240" w:lineRule="atLeast"/>
              <w:ind w:left="284"/>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Indefinite nature</w:t>
            </w:r>
          </w:p>
        </w:tc>
        <w:tc>
          <w:tcPr>
            <w:tcW w:w="2350" w:type="dxa"/>
          </w:tcPr>
          <w:p w14:paraId="28E3123C"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620</w:t>
            </w:r>
          </w:p>
        </w:tc>
        <w:tc>
          <w:tcPr>
            <w:tcW w:w="2311" w:type="dxa"/>
            <w:vAlign w:val="center"/>
          </w:tcPr>
          <w:p w14:paraId="2A3F5BF1"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65.47</w:t>
            </w:r>
          </w:p>
        </w:tc>
      </w:tr>
      <w:tr w:rsidR="00EB56D6" w:rsidRPr="00AA67B0" w14:paraId="472B3004" w14:textId="77777777">
        <w:trPr>
          <w:trHeight w:val="220"/>
          <w:jc w:val="center"/>
        </w:trPr>
        <w:tc>
          <w:tcPr>
            <w:tcW w:w="4977" w:type="dxa"/>
            <w:vAlign w:val="center"/>
          </w:tcPr>
          <w:p w14:paraId="17631D2B" w14:textId="77777777" w:rsidR="00EB56D6" w:rsidRPr="00AA67B0" w:rsidRDefault="004D1F5E" w:rsidP="009E4F3A">
            <w:pPr>
              <w:spacing w:after="0" w:line="240" w:lineRule="atLeast"/>
              <w:ind w:left="284"/>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Temporary nature</w:t>
            </w:r>
          </w:p>
        </w:tc>
        <w:tc>
          <w:tcPr>
            <w:tcW w:w="2350" w:type="dxa"/>
          </w:tcPr>
          <w:p w14:paraId="5062AC5F"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327</w:t>
            </w:r>
          </w:p>
        </w:tc>
        <w:tc>
          <w:tcPr>
            <w:tcW w:w="2311" w:type="dxa"/>
            <w:vAlign w:val="center"/>
          </w:tcPr>
          <w:p w14:paraId="747BA9BA"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34.53</w:t>
            </w:r>
          </w:p>
        </w:tc>
      </w:tr>
      <w:tr w:rsidR="00EB56D6" w:rsidRPr="00AA67B0" w14:paraId="09A2B58B" w14:textId="77777777">
        <w:trPr>
          <w:trHeight w:val="220"/>
          <w:jc w:val="center"/>
        </w:trPr>
        <w:tc>
          <w:tcPr>
            <w:tcW w:w="4977" w:type="dxa"/>
            <w:vAlign w:val="center"/>
          </w:tcPr>
          <w:p w14:paraId="5EDDF593" w14:textId="77777777" w:rsidR="00EB56D6" w:rsidRPr="00AA67B0" w:rsidRDefault="004D1F5E" w:rsidP="009E4F3A">
            <w:pPr>
              <w:spacing w:after="0" w:line="240" w:lineRule="atLeast"/>
              <w:rPr>
                <w:rFonts w:ascii="Times New Roman" w:eastAsia="Times New Roman" w:hAnsi="Times New Roman" w:cs="Times New Roman"/>
                <w:b/>
                <w:i/>
                <w:color w:val="000000" w:themeColor="text1"/>
                <w:sz w:val="18"/>
                <w:szCs w:val="18"/>
              </w:rPr>
            </w:pPr>
            <w:r w:rsidRPr="00AA67B0">
              <w:rPr>
                <w:rFonts w:ascii="Times New Roman" w:eastAsia="Times New Roman" w:hAnsi="Times New Roman" w:cs="Times New Roman"/>
                <w:b/>
                <w:i/>
                <w:color w:val="000000" w:themeColor="text1"/>
                <w:sz w:val="18"/>
                <w:szCs w:val="18"/>
              </w:rPr>
              <w:t>Full-time or Part-time Employment Status</w:t>
            </w:r>
          </w:p>
        </w:tc>
        <w:tc>
          <w:tcPr>
            <w:tcW w:w="2350" w:type="dxa"/>
          </w:tcPr>
          <w:p w14:paraId="0422E65E" w14:textId="77777777" w:rsidR="00EB56D6" w:rsidRPr="00AA67B0" w:rsidRDefault="00EB56D6" w:rsidP="009E4F3A">
            <w:pPr>
              <w:spacing w:after="0" w:line="240" w:lineRule="atLeast"/>
              <w:jc w:val="center"/>
              <w:rPr>
                <w:rFonts w:ascii="Times New Roman" w:eastAsia="Times New Roman" w:hAnsi="Times New Roman" w:cs="Times New Roman"/>
                <w:color w:val="000000" w:themeColor="text1"/>
                <w:sz w:val="18"/>
                <w:szCs w:val="18"/>
              </w:rPr>
            </w:pPr>
          </w:p>
        </w:tc>
        <w:tc>
          <w:tcPr>
            <w:tcW w:w="2311" w:type="dxa"/>
            <w:vAlign w:val="center"/>
          </w:tcPr>
          <w:p w14:paraId="49EC4F15" w14:textId="77777777" w:rsidR="00EB56D6" w:rsidRPr="00AA67B0" w:rsidRDefault="00EB56D6" w:rsidP="009E4F3A">
            <w:pPr>
              <w:spacing w:after="0" w:line="240" w:lineRule="atLeast"/>
              <w:jc w:val="center"/>
              <w:rPr>
                <w:rFonts w:ascii="Times New Roman" w:eastAsia="Times New Roman" w:hAnsi="Times New Roman" w:cs="Times New Roman"/>
                <w:color w:val="000000" w:themeColor="text1"/>
                <w:sz w:val="18"/>
                <w:szCs w:val="18"/>
              </w:rPr>
            </w:pPr>
          </w:p>
        </w:tc>
      </w:tr>
      <w:tr w:rsidR="00EB56D6" w:rsidRPr="00AA67B0" w14:paraId="4EB8C8CB" w14:textId="77777777">
        <w:trPr>
          <w:trHeight w:val="220"/>
          <w:jc w:val="center"/>
        </w:trPr>
        <w:tc>
          <w:tcPr>
            <w:tcW w:w="4977" w:type="dxa"/>
            <w:vAlign w:val="center"/>
          </w:tcPr>
          <w:p w14:paraId="421B51F7" w14:textId="77777777" w:rsidR="00EB56D6" w:rsidRPr="00AA67B0" w:rsidRDefault="004D1F5E" w:rsidP="009E4F3A">
            <w:pPr>
              <w:spacing w:after="0" w:line="240" w:lineRule="atLeast"/>
              <w:ind w:left="284"/>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Full-time</w:t>
            </w:r>
          </w:p>
        </w:tc>
        <w:tc>
          <w:tcPr>
            <w:tcW w:w="2350" w:type="dxa"/>
          </w:tcPr>
          <w:p w14:paraId="2D243A9C"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834</w:t>
            </w:r>
          </w:p>
        </w:tc>
        <w:tc>
          <w:tcPr>
            <w:tcW w:w="2311" w:type="dxa"/>
            <w:vAlign w:val="center"/>
          </w:tcPr>
          <w:p w14:paraId="61E95041"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88.07</w:t>
            </w:r>
          </w:p>
        </w:tc>
      </w:tr>
      <w:tr w:rsidR="00EB56D6" w:rsidRPr="00AA67B0" w14:paraId="3E8B0F9B" w14:textId="77777777">
        <w:trPr>
          <w:trHeight w:val="220"/>
          <w:jc w:val="center"/>
        </w:trPr>
        <w:tc>
          <w:tcPr>
            <w:tcW w:w="4977" w:type="dxa"/>
            <w:vAlign w:val="center"/>
          </w:tcPr>
          <w:p w14:paraId="21FC0544" w14:textId="77777777" w:rsidR="00EB56D6" w:rsidRPr="00AA67B0" w:rsidRDefault="004D1F5E" w:rsidP="009E4F3A">
            <w:pPr>
              <w:spacing w:after="0" w:line="240" w:lineRule="atLeast"/>
              <w:ind w:left="284"/>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Part-time</w:t>
            </w:r>
          </w:p>
        </w:tc>
        <w:tc>
          <w:tcPr>
            <w:tcW w:w="2350" w:type="dxa"/>
          </w:tcPr>
          <w:p w14:paraId="5C62BC4C"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113</w:t>
            </w:r>
          </w:p>
        </w:tc>
        <w:tc>
          <w:tcPr>
            <w:tcW w:w="2311" w:type="dxa"/>
            <w:vAlign w:val="center"/>
          </w:tcPr>
          <w:p w14:paraId="52DE8B19"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11.93</w:t>
            </w:r>
          </w:p>
        </w:tc>
      </w:tr>
      <w:tr w:rsidR="00EB56D6" w:rsidRPr="00AA67B0" w14:paraId="5A4B2827" w14:textId="77777777">
        <w:trPr>
          <w:trHeight w:val="220"/>
          <w:jc w:val="center"/>
        </w:trPr>
        <w:tc>
          <w:tcPr>
            <w:tcW w:w="4977" w:type="dxa"/>
            <w:vAlign w:val="center"/>
          </w:tcPr>
          <w:p w14:paraId="77E278C2" w14:textId="77777777" w:rsidR="00EB56D6" w:rsidRPr="00AA67B0" w:rsidRDefault="004D1F5E" w:rsidP="009E4F3A">
            <w:pPr>
              <w:spacing w:after="0" w:line="240" w:lineRule="atLeast"/>
              <w:rPr>
                <w:rFonts w:ascii="Times New Roman" w:eastAsia="Times New Roman" w:hAnsi="Times New Roman" w:cs="Times New Roman"/>
                <w:b/>
                <w:i/>
                <w:color w:val="000000" w:themeColor="text1"/>
                <w:sz w:val="18"/>
                <w:szCs w:val="18"/>
              </w:rPr>
            </w:pPr>
            <w:r w:rsidRPr="00AA67B0">
              <w:rPr>
                <w:rFonts w:ascii="Times New Roman" w:eastAsia="Times New Roman" w:hAnsi="Times New Roman" w:cs="Times New Roman"/>
                <w:b/>
                <w:i/>
                <w:color w:val="000000" w:themeColor="text1"/>
                <w:sz w:val="18"/>
                <w:szCs w:val="18"/>
              </w:rPr>
              <w:t xml:space="preserve">Seniority at Work </w:t>
            </w:r>
          </w:p>
        </w:tc>
        <w:tc>
          <w:tcPr>
            <w:tcW w:w="2350" w:type="dxa"/>
          </w:tcPr>
          <w:p w14:paraId="463FA74F" w14:textId="77777777" w:rsidR="00EB56D6" w:rsidRPr="00AA67B0" w:rsidRDefault="00EB56D6" w:rsidP="009E4F3A">
            <w:pPr>
              <w:spacing w:after="0" w:line="240" w:lineRule="atLeast"/>
              <w:jc w:val="center"/>
              <w:rPr>
                <w:rFonts w:ascii="Times New Roman" w:eastAsia="Times New Roman" w:hAnsi="Times New Roman" w:cs="Times New Roman"/>
                <w:color w:val="000000" w:themeColor="text1"/>
                <w:sz w:val="18"/>
                <w:szCs w:val="18"/>
              </w:rPr>
            </w:pPr>
          </w:p>
        </w:tc>
        <w:tc>
          <w:tcPr>
            <w:tcW w:w="2311" w:type="dxa"/>
            <w:vAlign w:val="center"/>
          </w:tcPr>
          <w:p w14:paraId="13024CDB" w14:textId="77777777" w:rsidR="00EB56D6" w:rsidRPr="00AA67B0" w:rsidRDefault="00EB56D6" w:rsidP="009E4F3A">
            <w:pPr>
              <w:spacing w:after="0" w:line="240" w:lineRule="atLeast"/>
              <w:jc w:val="center"/>
              <w:rPr>
                <w:rFonts w:ascii="Times New Roman" w:eastAsia="Times New Roman" w:hAnsi="Times New Roman" w:cs="Times New Roman"/>
                <w:color w:val="000000" w:themeColor="text1"/>
                <w:sz w:val="18"/>
                <w:szCs w:val="18"/>
              </w:rPr>
            </w:pPr>
          </w:p>
        </w:tc>
      </w:tr>
      <w:tr w:rsidR="00EB56D6" w:rsidRPr="00AA67B0" w14:paraId="0544D22E" w14:textId="77777777">
        <w:trPr>
          <w:trHeight w:val="220"/>
          <w:jc w:val="center"/>
        </w:trPr>
        <w:tc>
          <w:tcPr>
            <w:tcW w:w="4977" w:type="dxa"/>
            <w:vAlign w:val="center"/>
          </w:tcPr>
          <w:p w14:paraId="10503BA9" w14:textId="77777777" w:rsidR="00EB56D6" w:rsidRPr="00AA67B0" w:rsidRDefault="004D1F5E" w:rsidP="009E4F3A">
            <w:pPr>
              <w:spacing w:after="0" w:line="240" w:lineRule="atLeast"/>
              <w:ind w:left="284"/>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&lt;15 years</w:t>
            </w:r>
          </w:p>
        </w:tc>
        <w:tc>
          <w:tcPr>
            <w:tcW w:w="2350" w:type="dxa"/>
          </w:tcPr>
          <w:p w14:paraId="710D6D8D"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709</w:t>
            </w:r>
          </w:p>
        </w:tc>
        <w:tc>
          <w:tcPr>
            <w:tcW w:w="2311" w:type="dxa"/>
            <w:vAlign w:val="center"/>
          </w:tcPr>
          <w:p w14:paraId="2B30AC0A"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74.87</w:t>
            </w:r>
          </w:p>
        </w:tc>
      </w:tr>
      <w:tr w:rsidR="00EB56D6" w:rsidRPr="00AA67B0" w14:paraId="3F65413F" w14:textId="77777777">
        <w:trPr>
          <w:trHeight w:val="220"/>
          <w:jc w:val="center"/>
        </w:trPr>
        <w:tc>
          <w:tcPr>
            <w:tcW w:w="4977" w:type="dxa"/>
            <w:tcBorders>
              <w:bottom w:val="single" w:sz="4" w:space="0" w:color="000000"/>
            </w:tcBorders>
            <w:vAlign w:val="center"/>
          </w:tcPr>
          <w:p w14:paraId="3C3FDA52" w14:textId="77777777" w:rsidR="00EB56D6" w:rsidRPr="00AA67B0" w:rsidRDefault="004D1F5E" w:rsidP="009E4F3A">
            <w:pPr>
              <w:spacing w:after="0" w:line="240" w:lineRule="atLeast"/>
              <w:ind w:left="284"/>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&gt;16 years</w:t>
            </w:r>
          </w:p>
        </w:tc>
        <w:tc>
          <w:tcPr>
            <w:tcW w:w="2350" w:type="dxa"/>
            <w:tcBorders>
              <w:bottom w:val="single" w:sz="4" w:space="0" w:color="000000"/>
            </w:tcBorders>
          </w:tcPr>
          <w:p w14:paraId="78A74AAF"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238</w:t>
            </w:r>
          </w:p>
        </w:tc>
        <w:tc>
          <w:tcPr>
            <w:tcW w:w="2311" w:type="dxa"/>
            <w:tcBorders>
              <w:bottom w:val="single" w:sz="4" w:space="0" w:color="000000"/>
            </w:tcBorders>
            <w:vAlign w:val="center"/>
          </w:tcPr>
          <w:p w14:paraId="44E9260B" w14:textId="77777777" w:rsidR="00EB56D6" w:rsidRPr="00AA67B0" w:rsidRDefault="004D1F5E" w:rsidP="009E4F3A">
            <w:pPr>
              <w:spacing w:after="0" w:line="240" w:lineRule="atLeast"/>
              <w:jc w:val="center"/>
              <w:rPr>
                <w:rFonts w:ascii="Times New Roman" w:eastAsia="Times New Roman" w:hAnsi="Times New Roman" w:cs="Times New Roman"/>
                <w:color w:val="000000" w:themeColor="text1"/>
                <w:sz w:val="18"/>
                <w:szCs w:val="18"/>
              </w:rPr>
            </w:pPr>
            <w:r w:rsidRPr="00AA67B0">
              <w:rPr>
                <w:rFonts w:ascii="Times New Roman" w:eastAsia="Times New Roman" w:hAnsi="Times New Roman" w:cs="Times New Roman"/>
                <w:color w:val="000000" w:themeColor="text1"/>
                <w:sz w:val="18"/>
                <w:szCs w:val="18"/>
              </w:rPr>
              <w:t>25.13</w:t>
            </w:r>
          </w:p>
        </w:tc>
      </w:tr>
    </w:tbl>
    <w:p w14:paraId="2A84F224" w14:textId="77777777" w:rsidR="00EB56D6" w:rsidRPr="00AA67B0" w:rsidRDefault="00EB56D6">
      <w:pPr>
        <w:rPr>
          <w:rFonts w:ascii="Times New Roman" w:eastAsia="Times New Roman" w:hAnsi="Times New Roman" w:cs="Times New Roman"/>
          <w:color w:val="000000" w:themeColor="text1"/>
          <w:sz w:val="24"/>
          <w:szCs w:val="24"/>
        </w:rPr>
      </w:pPr>
    </w:p>
    <w:p w14:paraId="494A2A44" w14:textId="77777777" w:rsidR="00EB56D6" w:rsidRPr="00AA67B0" w:rsidRDefault="00EB56D6">
      <w:pPr>
        <w:rPr>
          <w:rFonts w:ascii="Times New Roman" w:eastAsia="Times New Roman" w:hAnsi="Times New Roman" w:cs="Times New Roman"/>
          <w:color w:val="000000" w:themeColor="text1"/>
          <w:sz w:val="24"/>
          <w:szCs w:val="24"/>
        </w:rPr>
      </w:pPr>
    </w:p>
    <w:p w14:paraId="3D444EB7" w14:textId="77777777" w:rsidR="009E4F3A" w:rsidRPr="00AA67B0" w:rsidRDefault="009E4F3A">
      <w:pPr>
        <w:spacing w:after="0" w:line="360" w:lineRule="auto"/>
        <w:rPr>
          <w:rFonts w:ascii="Times New Roman" w:eastAsia="Times New Roman" w:hAnsi="Times New Roman" w:cs="Times New Roman"/>
          <w:b/>
          <w:i/>
          <w:color w:val="000000" w:themeColor="text1"/>
          <w:sz w:val="24"/>
          <w:szCs w:val="24"/>
        </w:rPr>
      </w:pPr>
    </w:p>
    <w:p w14:paraId="008C9E6C" w14:textId="77777777" w:rsidR="009E4F3A" w:rsidRPr="00AA67B0" w:rsidRDefault="009E4F3A">
      <w:pPr>
        <w:spacing w:after="0" w:line="360" w:lineRule="auto"/>
        <w:rPr>
          <w:rFonts w:ascii="Times New Roman" w:eastAsia="Times New Roman" w:hAnsi="Times New Roman" w:cs="Times New Roman"/>
          <w:b/>
          <w:i/>
          <w:color w:val="000000" w:themeColor="text1"/>
          <w:sz w:val="24"/>
          <w:szCs w:val="24"/>
        </w:rPr>
      </w:pPr>
    </w:p>
    <w:p w14:paraId="2DA643D7" w14:textId="77777777" w:rsidR="009E4F3A" w:rsidRPr="00AA67B0" w:rsidRDefault="009E4F3A">
      <w:pPr>
        <w:spacing w:after="0" w:line="360" w:lineRule="auto"/>
        <w:rPr>
          <w:rFonts w:ascii="Times New Roman" w:eastAsia="Times New Roman" w:hAnsi="Times New Roman" w:cs="Times New Roman"/>
          <w:b/>
          <w:i/>
          <w:color w:val="000000" w:themeColor="text1"/>
          <w:sz w:val="24"/>
          <w:szCs w:val="24"/>
        </w:rPr>
      </w:pPr>
    </w:p>
    <w:p w14:paraId="5E856832" w14:textId="77777777" w:rsidR="009E4F3A" w:rsidRPr="00AA67B0" w:rsidRDefault="009E4F3A">
      <w:pPr>
        <w:spacing w:after="0" w:line="360" w:lineRule="auto"/>
        <w:rPr>
          <w:rFonts w:ascii="Times New Roman" w:eastAsia="Times New Roman" w:hAnsi="Times New Roman" w:cs="Times New Roman"/>
          <w:b/>
          <w:i/>
          <w:color w:val="000000" w:themeColor="text1"/>
          <w:sz w:val="24"/>
          <w:szCs w:val="24"/>
        </w:rPr>
      </w:pPr>
    </w:p>
    <w:p w14:paraId="3EFB2A62" w14:textId="77777777" w:rsidR="009E4F3A" w:rsidRPr="00AA67B0" w:rsidRDefault="009E4F3A">
      <w:pPr>
        <w:spacing w:after="0" w:line="360" w:lineRule="auto"/>
        <w:rPr>
          <w:rFonts w:ascii="Times New Roman" w:eastAsia="Times New Roman" w:hAnsi="Times New Roman" w:cs="Times New Roman"/>
          <w:b/>
          <w:i/>
          <w:color w:val="000000" w:themeColor="text1"/>
          <w:sz w:val="24"/>
          <w:szCs w:val="24"/>
        </w:rPr>
      </w:pPr>
    </w:p>
    <w:p w14:paraId="4495B616" w14:textId="77777777" w:rsidR="009E4F3A" w:rsidRPr="00AA67B0" w:rsidRDefault="009E4F3A">
      <w:pPr>
        <w:spacing w:after="0" w:line="360" w:lineRule="auto"/>
        <w:rPr>
          <w:rFonts w:ascii="Times New Roman" w:eastAsia="Times New Roman" w:hAnsi="Times New Roman" w:cs="Times New Roman"/>
          <w:b/>
          <w:i/>
          <w:color w:val="000000" w:themeColor="text1"/>
          <w:sz w:val="24"/>
          <w:szCs w:val="24"/>
        </w:rPr>
      </w:pPr>
    </w:p>
    <w:p w14:paraId="3E774495" w14:textId="77777777" w:rsidR="009E4F3A" w:rsidRPr="00AA67B0" w:rsidRDefault="009E4F3A">
      <w:pPr>
        <w:spacing w:after="0" w:line="360" w:lineRule="auto"/>
        <w:rPr>
          <w:rFonts w:ascii="Times New Roman" w:eastAsia="Times New Roman" w:hAnsi="Times New Roman" w:cs="Times New Roman"/>
          <w:b/>
          <w:i/>
          <w:color w:val="000000" w:themeColor="text1"/>
          <w:sz w:val="24"/>
          <w:szCs w:val="24"/>
        </w:rPr>
      </w:pPr>
    </w:p>
    <w:p w14:paraId="008ED2C3" w14:textId="77777777" w:rsidR="009E4F3A" w:rsidRPr="00AA67B0" w:rsidRDefault="009E4F3A">
      <w:pPr>
        <w:spacing w:after="0" w:line="360" w:lineRule="auto"/>
        <w:rPr>
          <w:rFonts w:ascii="Times New Roman" w:eastAsia="Times New Roman" w:hAnsi="Times New Roman" w:cs="Times New Roman"/>
          <w:b/>
          <w:i/>
          <w:color w:val="000000" w:themeColor="text1"/>
          <w:sz w:val="24"/>
          <w:szCs w:val="24"/>
        </w:rPr>
      </w:pPr>
    </w:p>
    <w:p w14:paraId="02383306" w14:textId="77777777" w:rsidR="009E4F3A" w:rsidRPr="00AA67B0" w:rsidRDefault="009E4F3A">
      <w:pPr>
        <w:spacing w:after="0" w:line="360" w:lineRule="auto"/>
        <w:rPr>
          <w:rFonts w:ascii="Times New Roman" w:eastAsia="Times New Roman" w:hAnsi="Times New Roman" w:cs="Times New Roman"/>
          <w:b/>
          <w:i/>
          <w:color w:val="000000" w:themeColor="text1"/>
          <w:sz w:val="24"/>
          <w:szCs w:val="24"/>
        </w:rPr>
      </w:pPr>
    </w:p>
    <w:p w14:paraId="410A18CA" w14:textId="77777777" w:rsidR="009E4F3A" w:rsidRPr="00AA67B0" w:rsidRDefault="009E4F3A">
      <w:pPr>
        <w:spacing w:after="0" w:line="360" w:lineRule="auto"/>
        <w:rPr>
          <w:rFonts w:ascii="Times New Roman" w:eastAsia="Times New Roman" w:hAnsi="Times New Roman" w:cs="Times New Roman"/>
          <w:b/>
          <w:i/>
          <w:color w:val="000000" w:themeColor="text1"/>
          <w:sz w:val="24"/>
          <w:szCs w:val="24"/>
        </w:rPr>
      </w:pPr>
    </w:p>
    <w:p w14:paraId="3B65D7C8" w14:textId="77777777" w:rsidR="00EB56D6" w:rsidRPr="00AA67B0" w:rsidRDefault="004D1F5E">
      <w:pPr>
        <w:spacing w:after="0" w:line="360" w:lineRule="auto"/>
        <w:rPr>
          <w:rFonts w:ascii="Times New Roman" w:eastAsia="Times New Roman" w:hAnsi="Times New Roman" w:cs="Times New Roman"/>
          <w:b/>
          <w:i/>
          <w:color w:val="000000" w:themeColor="text1"/>
          <w:sz w:val="24"/>
          <w:szCs w:val="24"/>
        </w:rPr>
      </w:pPr>
      <w:r w:rsidRPr="00AA67B0">
        <w:rPr>
          <w:rFonts w:ascii="Times New Roman" w:eastAsia="Times New Roman" w:hAnsi="Times New Roman" w:cs="Times New Roman"/>
          <w:b/>
          <w:i/>
          <w:color w:val="000000" w:themeColor="text1"/>
          <w:sz w:val="24"/>
          <w:szCs w:val="24"/>
        </w:rPr>
        <w:lastRenderedPageBreak/>
        <w:t>Measures</w:t>
      </w:r>
    </w:p>
    <w:p w14:paraId="4D13EF71" w14:textId="77777777" w:rsidR="00EB56D6" w:rsidRPr="00AA67B0" w:rsidRDefault="00EB56D6">
      <w:pPr>
        <w:spacing w:after="0" w:line="360" w:lineRule="auto"/>
        <w:rPr>
          <w:rFonts w:ascii="Times New Roman" w:eastAsia="Times New Roman" w:hAnsi="Times New Roman" w:cs="Times New Roman"/>
          <w:color w:val="000000" w:themeColor="text1"/>
          <w:sz w:val="24"/>
          <w:szCs w:val="24"/>
        </w:rPr>
      </w:pPr>
    </w:p>
    <w:p w14:paraId="10D5AF73" w14:textId="77777777"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For the collection of information, a survey was developed comprised of questions relating to socio-demographic information and the Maslach Burnout Inventory.</w:t>
      </w:r>
    </w:p>
    <w:p w14:paraId="70B889BE" w14:textId="77777777" w:rsidR="00EB56D6" w:rsidRPr="00AA67B0" w:rsidRDefault="00EB56D6">
      <w:pPr>
        <w:spacing w:after="0" w:line="360" w:lineRule="auto"/>
        <w:rPr>
          <w:rFonts w:ascii="Times New Roman" w:eastAsia="Times New Roman" w:hAnsi="Times New Roman" w:cs="Times New Roman"/>
          <w:color w:val="000000" w:themeColor="text1"/>
          <w:sz w:val="24"/>
          <w:szCs w:val="24"/>
        </w:rPr>
      </w:pPr>
    </w:p>
    <w:p w14:paraId="72893C5A" w14:textId="77777777" w:rsidR="00EB56D6" w:rsidRPr="00AA67B0" w:rsidRDefault="004D1F5E">
      <w:pPr>
        <w:spacing w:after="0" w:line="360" w:lineRule="auto"/>
        <w:rPr>
          <w:rFonts w:ascii="Times New Roman" w:eastAsia="Times New Roman" w:hAnsi="Times New Roman" w:cs="Times New Roman"/>
          <w:b/>
          <w:i/>
          <w:color w:val="000000" w:themeColor="text1"/>
          <w:sz w:val="24"/>
          <w:szCs w:val="24"/>
        </w:rPr>
      </w:pPr>
      <w:r w:rsidRPr="00AA67B0">
        <w:rPr>
          <w:rFonts w:ascii="Times New Roman" w:eastAsia="Times New Roman" w:hAnsi="Times New Roman" w:cs="Times New Roman"/>
          <w:b/>
          <w:i/>
          <w:color w:val="000000" w:themeColor="text1"/>
          <w:sz w:val="24"/>
          <w:szCs w:val="24"/>
        </w:rPr>
        <w:t>Demographic Questionnaire</w:t>
      </w:r>
    </w:p>
    <w:p w14:paraId="15DD2C21" w14:textId="77777777" w:rsidR="00EB56D6" w:rsidRPr="00AA67B0" w:rsidRDefault="00EB56D6">
      <w:pPr>
        <w:spacing w:after="0" w:line="360" w:lineRule="auto"/>
        <w:rPr>
          <w:rFonts w:ascii="Times New Roman" w:eastAsia="Times New Roman" w:hAnsi="Times New Roman" w:cs="Times New Roman"/>
          <w:color w:val="000000" w:themeColor="text1"/>
          <w:sz w:val="24"/>
          <w:szCs w:val="24"/>
        </w:rPr>
      </w:pPr>
    </w:p>
    <w:p w14:paraId="60F2A2F6" w14:textId="17562F93" w:rsidR="00EB56D6" w:rsidRPr="00AA67B0" w:rsidRDefault="004D1F5E">
      <w:pPr>
        <w:spacing w:after="0" w:line="360" w:lineRule="auto"/>
        <w:rPr>
          <w:rFonts w:ascii="Times New Roman" w:eastAsia="Times New Roman" w:hAnsi="Times New Roman" w:cs="Times New Roman"/>
          <w:strike/>
          <w:color w:val="000000" w:themeColor="text1"/>
          <w:sz w:val="24"/>
          <w:szCs w:val="24"/>
        </w:rPr>
      </w:pPr>
      <w:r w:rsidRPr="00AA67B0">
        <w:rPr>
          <w:rFonts w:ascii="Times New Roman" w:eastAsia="Times New Roman" w:hAnsi="Times New Roman" w:cs="Times New Roman"/>
          <w:color w:val="000000" w:themeColor="text1"/>
          <w:sz w:val="24"/>
          <w:szCs w:val="24"/>
        </w:rPr>
        <w:t>The socio-demographic survey included the following variables: (a) gender (man vs. woman); (b) age (&lt;39 vs. &gt;40); (c) type of cohabitation (with a regular partner vs. without a regular partner); (d) having children in the home (without children vs. with children); (e) suffering from a chronic illness – organic or functional disorders that require lifestyle changes and have or probably will persist long-term (yes vs. no); (f) having been on sick leave during the last year (yes vs. no); (g) work sector (public vs. private); (h) sector of the population served (community social services vs. specialised social services</w:t>
      </w:r>
      <w:r w:rsidR="004C0917" w:rsidRPr="00AA67B0">
        <w:rPr>
          <w:rFonts w:ascii="Times New Roman" w:eastAsia="Times New Roman" w:hAnsi="Times New Roman" w:cs="Times New Roman"/>
          <w:color w:val="000000" w:themeColor="text1"/>
          <w:sz w:val="24"/>
          <w:szCs w:val="24"/>
          <w:vertAlign w:val="superscript"/>
        </w:rPr>
        <w:t>2</w:t>
      </w:r>
      <w:r w:rsidRPr="00AA67B0">
        <w:rPr>
          <w:rFonts w:ascii="Times New Roman" w:eastAsia="Times New Roman" w:hAnsi="Times New Roman" w:cs="Times New Roman"/>
          <w:color w:val="000000" w:themeColor="text1"/>
          <w:sz w:val="24"/>
          <w:szCs w:val="24"/>
        </w:rPr>
        <w:t>) ; (i) seniority at work (&lt;15 vs. &gt;16).</w:t>
      </w:r>
    </w:p>
    <w:p w14:paraId="7DD3741E" w14:textId="77777777" w:rsidR="00EB56D6" w:rsidRPr="00AA67B0" w:rsidRDefault="00EB56D6">
      <w:pPr>
        <w:spacing w:after="0" w:line="360" w:lineRule="auto"/>
        <w:rPr>
          <w:rFonts w:ascii="Times New Roman" w:eastAsia="Times New Roman" w:hAnsi="Times New Roman" w:cs="Times New Roman"/>
          <w:i/>
          <w:color w:val="000000" w:themeColor="text1"/>
          <w:sz w:val="24"/>
          <w:szCs w:val="24"/>
        </w:rPr>
      </w:pPr>
    </w:p>
    <w:p w14:paraId="341A9EFB" w14:textId="77777777" w:rsidR="00EB56D6" w:rsidRPr="00AA67B0" w:rsidRDefault="004D1F5E">
      <w:pPr>
        <w:spacing w:after="0" w:line="360" w:lineRule="auto"/>
        <w:rPr>
          <w:rFonts w:ascii="Times New Roman" w:eastAsia="Times New Roman" w:hAnsi="Times New Roman" w:cs="Times New Roman"/>
          <w:b/>
          <w:i/>
          <w:color w:val="000000" w:themeColor="text1"/>
          <w:sz w:val="24"/>
          <w:szCs w:val="24"/>
        </w:rPr>
      </w:pPr>
      <w:r w:rsidRPr="00AA67B0">
        <w:rPr>
          <w:rFonts w:ascii="Times New Roman" w:eastAsia="Times New Roman" w:hAnsi="Times New Roman" w:cs="Times New Roman"/>
          <w:b/>
          <w:i/>
          <w:color w:val="000000" w:themeColor="text1"/>
          <w:sz w:val="24"/>
          <w:szCs w:val="24"/>
        </w:rPr>
        <w:t>Burnout Questionnaire</w:t>
      </w:r>
    </w:p>
    <w:p w14:paraId="7C51D53A" w14:textId="77777777" w:rsidR="00EB56D6" w:rsidRPr="00AA67B0" w:rsidRDefault="00EB56D6">
      <w:pPr>
        <w:spacing w:after="0" w:line="360" w:lineRule="auto"/>
        <w:rPr>
          <w:rFonts w:ascii="Times New Roman" w:eastAsia="Times New Roman" w:hAnsi="Times New Roman" w:cs="Times New Roman"/>
          <w:color w:val="000000" w:themeColor="text1"/>
          <w:sz w:val="24"/>
          <w:szCs w:val="24"/>
        </w:rPr>
      </w:pPr>
    </w:p>
    <w:p w14:paraId="6A6E0E4D" w14:textId="642EFF49" w:rsidR="00EB56D6" w:rsidRPr="00AA67B0" w:rsidRDefault="004D1F5E">
      <w:pPr>
        <w:spacing w:after="0" w:line="360" w:lineRule="auto"/>
        <w:rPr>
          <w:rFonts w:ascii="Times New Roman" w:eastAsia="Times New Roman" w:hAnsi="Times New Roman" w:cs="Times New Roman"/>
          <w:color w:val="000000" w:themeColor="text1"/>
          <w:sz w:val="24"/>
          <w:szCs w:val="24"/>
        </w:rPr>
      </w:pPr>
      <w:bookmarkStart w:id="0" w:name="_gjdgxs" w:colFirst="0" w:colLast="0"/>
      <w:bookmarkEnd w:id="0"/>
      <w:r w:rsidRPr="00AA67B0">
        <w:rPr>
          <w:rFonts w:ascii="Times New Roman" w:eastAsia="Times New Roman" w:hAnsi="Times New Roman" w:cs="Times New Roman"/>
          <w:color w:val="000000" w:themeColor="text1"/>
          <w:sz w:val="24"/>
          <w:szCs w:val="24"/>
        </w:rPr>
        <w:t xml:space="preserve">Burnout syndrome: Burnout syndrome was estimated through the “Maslach Burnout Inventory”, in its version for professionals in “human services” MBI-HSS (Maslach &amp; Jackson, 1986), for two main reasons. Firstly, the MBI-HSS was developed based on the conceptualisation of burnout given by Maslach </w:t>
      </w:r>
      <w:r w:rsidR="000F5B1B" w:rsidRPr="00AA67B0">
        <w:rPr>
          <w:rFonts w:ascii="Times New Roman" w:eastAsia="Times New Roman" w:hAnsi="Times New Roman" w:cs="Times New Roman"/>
          <w:color w:val="000000" w:themeColor="text1"/>
          <w:sz w:val="24"/>
          <w:szCs w:val="24"/>
        </w:rPr>
        <w:t xml:space="preserve">and </w:t>
      </w:r>
      <w:r w:rsidRPr="00AA67B0">
        <w:rPr>
          <w:rFonts w:ascii="Times New Roman" w:eastAsia="Times New Roman" w:hAnsi="Times New Roman" w:cs="Times New Roman"/>
          <w:color w:val="000000" w:themeColor="text1"/>
          <w:sz w:val="24"/>
          <w:szCs w:val="24"/>
        </w:rPr>
        <w:t>Jackson (1982)</w:t>
      </w:r>
      <w:r w:rsidR="008F53FB"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w:t>
      </w:r>
      <w:r w:rsidR="008F53FB" w:rsidRPr="00AA67B0">
        <w:rPr>
          <w:rFonts w:ascii="Times New Roman" w:eastAsia="Times New Roman" w:hAnsi="Times New Roman" w:cs="Times New Roman"/>
          <w:color w:val="000000" w:themeColor="text1"/>
          <w:sz w:val="24"/>
          <w:szCs w:val="24"/>
        </w:rPr>
        <w:t xml:space="preserve">which has become </w:t>
      </w:r>
      <w:r w:rsidRPr="00AA67B0">
        <w:rPr>
          <w:rFonts w:ascii="Times New Roman" w:eastAsia="Times New Roman" w:hAnsi="Times New Roman" w:cs="Times New Roman"/>
          <w:color w:val="000000" w:themeColor="text1"/>
          <w:sz w:val="24"/>
          <w:szCs w:val="24"/>
        </w:rPr>
        <w:t>one of the most widely</w:t>
      </w:r>
      <w:r w:rsidR="008F53FB" w:rsidRPr="00AA67B0">
        <w:rPr>
          <w:rFonts w:ascii="Times New Roman" w:eastAsia="Times New Roman" w:hAnsi="Times New Roman" w:cs="Times New Roman"/>
          <w:color w:val="000000" w:themeColor="text1"/>
          <w:sz w:val="24"/>
          <w:szCs w:val="24"/>
        </w:rPr>
        <w:t xml:space="preserve"> </w:t>
      </w:r>
      <w:r w:rsidRPr="00AA67B0">
        <w:rPr>
          <w:rFonts w:ascii="Times New Roman" w:eastAsia="Times New Roman" w:hAnsi="Times New Roman" w:cs="Times New Roman"/>
          <w:color w:val="000000" w:themeColor="text1"/>
          <w:sz w:val="24"/>
          <w:szCs w:val="24"/>
        </w:rPr>
        <w:t xml:space="preserve">accepted definitions of the term (García, 1990). Secondly, </w:t>
      </w:r>
      <w:r w:rsidR="008F53FB" w:rsidRPr="00AA67B0">
        <w:rPr>
          <w:rFonts w:ascii="Times New Roman" w:eastAsia="Times New Roman" w:hAnsi="Times New Roman" w:cs="Times New Roman"/>
          <w:color w:val="000000" w:themeColor="text1"/>
          <w:sz w:val="24"/>
          <w:szCs w:val="24"/>
        </w:rPr>
        <w:t xml:space="preserve">this inventory </w:t>
      </w:r>
      <w:r w:rsidRPr="00AA67B0">
        <w:rPr>
          <w:rFonts w:ascii="Times New Roman" w:eastAsia="Times New Roman" w:hAnsi="Times New Roman" w:cs="Times New Roman"/>
          <w:color w:val="000000" w:themeColor="text1"/>
          <w:sz w:val="24"/>
          <w:szCs w:val="24"/>
        </w:rPr>
        <w:t xml:space="preserve">has been used </w:t>
      </w:r>
      <w:r w:rsidR="0001072E" w:rsidRPr="00AA67B0">
        <w:rPr>
          <w:rFonts w:ascii="Times New Roman" w:eastAsia="Times New Roman" w:hAnsi="Times New Roman" w:cs="Times New Roman"/>
          <w:color w:val="000000" w:themeColor="text1"/>
          <w:sz w:val="24"/>
          <w:szCs w:val="24"/>
        </w:rPr>
        <w:t>for many years</w:t>
      </w:r>
      <w:r w:rsidRPr="00AA67B0">
        <w:rPr>
          <w:rFonts w:ascii="Times New Roman" w:eastAsia="Times New Roman" w:hAnsi="Times New Roman" w:cs="Times New Roman"/>
          <w:color w:val="000000" w:themeColor="text1"/>
          <w:sz w:val="24"/>
          <w:szCs w:val="24"/>
        </w:rPr>
        <w:t xml:space="preserve">, and has evidenced acceptable levels of validity and reliability in all the professional groups in which it has been applied (principally professions and services) that are deemed to </w:t>
      </w:r>
      <w:r w:rsidR="000F5B1B" w:rsidRPr="00AA67B0">
        <w:rPr>
          <w:rFonts w:ascii="Times New Roman" w:eastAsia="Times New Roman" w:hAnsi="Times New Roman" w:cs="Times New Roman"/>
          <w:color w:val="000000" w:themeColor="text1"/>
          <w:sz w:val="24"/>
          <w:szCs w:val="24"/>
        </w:rPr>
        <w:t xml:space="preserve">be </w:t>
      </w:r>
      <w:r w:rsidRPr="00AA67B0">
        <w:rPr>
          <w:rFonts w:ascii="Times New Roman" w:eastAsia="Times New Roman" w:hAnsi="Times New Roman" w:cs="Times New Roman"/>
          <w:color w:val="000000" w:themeColor="text1"/>
          <w:sz w:val="24"/>
          <w:szCs w:val="24"/>
        </w:rPr>
        <w:t>at risk of burnout (Oliver,</w:t>
      </w:r>
      <w:r w:rsidR="001E6CBD" w:rsidRPr="00AA67B0">
        <w:rPr>
          <w:rFonts w:ascii="Times New Roman" w:eastAsia="Times New Roman" w:hAnsi="Times New Roman" w:cs="Times New Roman"/>
          <w:color w:val="000000" w:themeColor="text1"/>
          <w:sz w:val="24"/>
          <w:szCs w:val="24"/>
        </w:rPr>
        <w:t xml:space="preserve"> Pastor, Aragoneses, &amp; Moreno,</w:t>
      </w:r>
      <w:r w:rsidRPr="00AA67B0">
        <w:rPr>
          <w:rFonts w:ascii="Times New Roman" w:eastAsia="Times New Roman" w:hAnsi="Times New Roman" w:cs="Times New Roman"/>
          <w:color w:val="000000" w:themeColor="text1"/>
          <w:sz w:val="24"/>
          <w:szCs w:val="24"/>
        </w:rPr>
        <w:t xml:space="preserve"> 1990). The instrument used to measure burnout was the Spanish version of the Seisdedos Maslach Burnout Inventory (Seisdedos, 1997).</w:t>
      </w:r>
      <w:r w:rsidR="00DD3384" w:rsidRPr="00AA67B0">
        <w:rPr>
          <w:rFonts w:ascii="Times New Roman" w:eastAsia="Times New Roman" w:hAnsi="Times New Roman" w:cs="Times New Roman"/>
          <w:color w:val="000000" w:themeColor="text1"/>
          <w:sz w:val="24"/>
          <w:szCs w:val="24"/>
        </w:rPr>
        <w:t xml:space="preserve"> </w:t>
      </w:r>
      <w:r w:rsidRPr="00AA67B0">
        <w:rPr>
          <w:rFonts w:ascii="Times New Roman" w:eastAsia="Times New Roman" w:hAnsi="Times New Roman" w:cs="Times New Roman"/>
          <w:color w:val="000000" w:themeColor="text1"/>
          <w:sz w:val="24"/>
          <w:szCs w:val="24"/>
        </w:rPr>
        <w:t xml:space="preserve">It consists of 22 items that contain three subscales, each of which evaluates one of the constructs of burnout: emotional exhaustion (9 items; e.g., </w:t>
      </w:r>
      <w:r w:rsidRPr="00AA67B0">
        <w:rPr>
          <w:rFonts w:ascii="Times New Roman" w:eastAsia="Times New Roman" w:hAnsi="Times New Roman" w:cs="Times New Roman"/>
          <w:i/>
          <w:color w:val="000000" w:themeColor="text1"/>
          <w:sz w:val="24"/>
          <w:szCs w:val="24"/>
        </w:rPr>
        <w:t>Due to my work I feel emotionally exhausted</w:t>
      </w:r>
      <w:r w:rsidRPr="00AA67B0">
        <w:rPr>
          <w:rFonts w:ascii="Times New Roman" w:eastAsia="Times New Roman" w:hAnsi="Times New Roman" w:cs="Times New Roman"/>
          <w:color w:val="000000" w:themeColor="text1"/>
          <w:sz w:val="24"/>
          <w:szCs w:val="24"/>
        </w:rPr>
        <w:t xml:space="preserve">), depersonalisation (5 items; e.g., </w:t>
      </w:r>
      <w:r w:rsidRPr="00AA67B0">
        <w:rPr>
          <w:rFonts w:ascii="Times New Roman" w:eastAsia="Times New Roman" w:hAnsi="Times New Roman" w:cs="Times New Roman"/>
          <w:i/>
          <w:color w:val="000000" w:themeColor="text1"/>
          <w:sz w:val="24"/>
          <w:szCs w:val="24"/>
        </w:rPr>
        <w:t>I think I treat some clients as if they were objects</w:t>
      </w:r>
      <w:r w:rsidRPr="00AA67B0">
        <w:rPr>
          <w:rFonts w:ascii="Times New Roman" w:eastAsia="Times New Roman" w:hAnsi="Times New Roman" w:cs="Times New Roman"/>
          <w:color w:val="000000" w:themeColor="text1"/>
          <w:sz w:val="24"/>
          <w:szCs w:val="24"/>
        </w:rPr>
        <w:t xml:space="preserve">) and personal accomplishment (8 items; e.g., </w:t>
      </w:r>
      <w:r w:rsidRPr="00AA67B0">
        <w:rPr>
          <w:rFonts w:ascii="Times New Roman" w:eastAsia="Times New Roman" w:hAnsi="Times New Roman" w:cs="Times New Roman"/>
          <w:i/>
          <w:color w:val="000000" w:themeColor="text1"/>
          <w:sz w:val="24"/>
          <w:szCs w:val="24"/>
        </w:rPr>
        <w:t>I feel like I am positively influencing the lives of others through my work</w:t>
      </w:r>
      <w:r w:rsidRPr="00AA67B0">
        <w:rPr>
          <w:rFonts w:ascii="Times New Roman" w:eastAsia="Times New Roman" w:hAnsi="Times New Roman" w:cs="Times New Roman"/>
          <w:color w:val="000000" w:themeColor="text1"/>
          <w:sz w:val="24"/>
          <w:szCs w:val="24"/>
        </w:rPr>
        <w:t>). Each subscale is comprised of various items, each of which describes a particular feeling / attitude toward</w:t>
      </w:r>
      <w:r w:rsidR="000F5B1B" w:rsidRPr="00AA67B0">
        <w:rPr>
          <w:rFonts w:ascii="Times New Roman" w:eastAsia="Times New Roman" w:hAnsi="Times New Roman" w:cs="Times New Roman"/>
          <w:color w:val="000000" w:themeColor="text1"/>
          <w:sz w:val="24"/>
          <w:szCs w:val="24"/>
        </w:rPr>
        <w:t>s</w:t>
      </w:r>
      <w:r w:rsidRPr="00AA67B0">
        <w:rPr>
          <w:rFonts w:ascii="Times New Roman" w:eastAsia="Times New Roman" w:hAnsi="Times New Roman" w:cs="Times New Roman"/>
          <w:color w:val="000000" w:themeColor="text1"/>
          <w:sz w:val="24"/>
          <w:szCs w:val="24"/>
        </w:rPr>
        <w:t xml:space="preserve"> work, and the respondent rates them on a 7</w:t>
      </w:r>
      <w:r w:rsidR="000F5B1B"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point Likert scale according to how frequently they have experienced </w:t>
      </w:r>
      <w:r w:rsidR="000F5B1B" w:rsidRPr="00AA67B0">
        <w:rPr>
          <w:rFonts w:ascii="Times New Roman" w:eastAsia="Times New Roman" w:hAnsi="Times New Roman" w:cs="Times New Roman"/>
          <w:color w:val="000000" w:themeColor="text1"/>
          <w:sz w:val="24"/>
          <w:szCs w:val="24"/>
        </w:rPr>
        <w:t xml:space="preserve">the </w:t>
      </w:r>
      <w:r w:rsidRPr="00AA67B0">
        <w:rPr>
          <w:rFonts w:ascii="Times New Roman" w:eastAsia="Times New Roman" w:hAnsi="Times New Roman" w:cs="Times New Roman"/>
          <w:color w:val="000000" w:themeColor="text1"/>
          <w:sz w:val="24"/>
          <w:szCs w:val="24"/>
        </w:rPr>
        <w:t xml:space="preserve">emotion / attitude (ranging from 0 = </w:t>
      </w:r>
      <w:r w:rsidR="000F5B1B"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Never</w:t>
      </w:r>
      <w:r w:rsidR="000F5B1B"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to 6 = </w:t>
      </w:r>
      <w:r w:rsidR="000F5B1B"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Every Day</w:t>
      </w:r>
      <w:r w:rsidR="000F5B1B"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The EE subscale evaluates the feeling of having exhausted the emotional resources needed to contend with the situations that arise in </w:t>
      </w:r>
      <w:r w:rsidR="009D2A96" w:rsidRPr="00AA67B0">
        <w:rPr>
          <w:rFonts w:ascii="Times New Roman" w:eastAsia="Times New Roman" w:hAnsi="Times New Roman" w:cs="Times New Roman"/>
          <w:color w:val="000000" w:themeColor="text1"/>
          <w:sz w:val="24"/>
          <w:szCs w:val="24"/>
        </w:rPr>
        <w:t xml:space="preserve">one’s </w:t>
      </w:r>
      <w:r w:rsidRPr="00AA67B0">
        <w:rPr>
          <w:rFonts w:ascii="Times New Roman" w:eastAsia="Times New Roman" w:hAnsi="Times New Roman" w:cs="Times New Roman"/>
          <w:color w:val="000000" w:themeColor="text1"/>
          <w:sz w:val="24"/>
          <w:szCs w:val="24"/>
        </w:rPr>
        <w:t xml:space="preserve">work. The DP subscale quantifies the attitude of detachment from </w:t>
      </w:r>
      <w:r w:rsidRPr="00AA67B0">
        <w:rPr>
          <w:rFonts w:ascii="Times New Roman" w:eastAsia="Times New Roman" w:hAnsi="Times New Roman" w:cs="Times New Roman"/>
          <w:color w:val="000000" w:themeColor="text1"/>
          <w:sz w:val="24"/>
          <w:szCs w:val="24"/>
        </w:rPr>
        <w:lastRenderedPageBreak/>
        <w:t xml:space="preserve">others. Finally, the PA subscale reflects the extent to which one recognises the value of </w:t>
      </w:r>
      <w:r w:rsidR="00005E48" w:rsidRPr="00AA67B0">
        <w:rPr>
          <w:rFonts w:ascii="Times New Roman" w:eastAsia="Times New Roman" w:hAnsi="Times New Roman" w:cs="Times New Roman"/>
          <w:color w:val="000000" w:themeColor="text1"/>
          <w:sz w:val="24"/>
          <w:szCs w:val="24"/>
        </w:rPr>
        <w:t xml:space="preserve">one’s </w:t>
      </w:r>
      <w:r w:rsidRPr="00AA67B0">
        <w:rPr>
          <w:rFonts w:ascii="Times New Roman" w:eastAsia="Times New Roman" w:hAnsi="Times New Roman" w:cs="Times New Roman"/>
          <w:color w:val="000000" w:themeColor="text1"/>
          <w:sz w:val="24"/>
          <w:szCs w:val="24"/>
        </w:rPr>
        <w:t>work. The ratings of each element are added in order to calculate the score of each subscale. As suggested by its authors, burnout is a multidimensional phenomenon, and the scores of the three dimensions should not be combined into a total score. For the EE and DP subscales, higher scores imply a greater level of burnout</w:t>
      </w:r>
      <w:r w:rsidR="008F53FB"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whereas for the PA subscale, a lower score indicates a greater level of burnout.</w:t>
      </w:r>
    </w:p>
    <w:p w14:paraId="1B27801C" w14:textId="7A047140"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Although, as previously mentioned, the MBI-HSS has been shown to function adequately in different populations, a considerable variability of scores has been noted between populations, which leads to the recommendation to avoid using cut-off points derived from foreign populations (Schaufeli &amp; Van Dierendonck, 1995). Therefore, the reference values published for the Spanish adaptation were used (Seisdedos, 1997).</w:t>
      </w:r>
    </w:p>
    <w:p w14:paraId="556A675F" w14:textId="1779AD5F"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Finally, although some evidence suggests that personal accomplishment is not a dimension of burnout (Schaufeli, Bakker, Hoogduin, Schaap, &amp; Kladler, 2001), this point of view is still controversial; therefore, we have evaluated the socio-demographic factors associated with the three dimensions of burnout. The authors provided reliability data with a Cronbach’s alpha of 0.90 for EE, 0.71 for PA and 0.79 for DP (Maslach &amp; Jackson, 1986). </w:t>
      </w:r>
    </w:p>
    <w:p w14:paraId="6E0C8000" w14:textId="77777777" w:rsidR="00EB56D6" w:rsidRPr="00AA67B0" w:rsidRDefault="00EB56D6">
      <w:pPr>
        <w:rPr>
          <w:rFonts w:ascii="Times New Roman" w:eastAsia="Times New Roman" w:hAnsi="Times New Roman" w:cs="Times New Roman"/>
          <w:b/>
          <w:color w:val="000000" w:themeColor="text1"/>
          <w:sz w:val="24"/>
          <w:szCs w:val="24"/>
        </w:rPr>
      </w:pPr>
    </w:p>
    <w:p w14:paraId="70976DB1" w14:textId="77777777" w:rsidR="00EB56D6" w:rsidRPr="00AA67B0" w:rsidRDefault="004D1F5E">
      <w:pPr>
        <w:rPr>
          <w:rFonts w:ascii="Times New Roman" w:eastAsia="Times New Roman" w:hAnsi="Times New Roman" w:cs="Times New Roman"/>
          <w:b/>
          <w:color w:val="000000" w:themeColor="text1"/>
          <w:sz w:val="24"/>
          <w:szCs w:val="24"/>
        </w:rPr>
      </w:pPr>
      <w:r w:rsidRPr="00AA67B0">
        <w:rPr>
          <w:color w:val="000000" w:themeColor="text1"/>
        </w:rPr>
        <w:br w:type="page"/>
      </w:r>
    </w:p>
    <w:p w14:paraId="7C581C81" w14:textId="77777777" w:rsidR="00EB56D6" w:rsidRPr="00AA67B0" w:rsidRDefault="004D1F5E">
      <w:pPr>
        <w:spacing w:after="0" w:line="360" w:lineRule="auto"/>
        <w:rPr>
          <w:rFonts w:ascii="Times New Roman" w:eastAsia="Times New Roman" w:hAnsi="Times New Roman" w:cs="Times New Roman"/>
          <w:b/>
          <w:i/>
          <w:color w:val="000000" w:themeColor="text1"/>
          <w:sz w:val="24"/>
          <w:szCs w:val="24"/>
        </w:rPr>
      </w:pPr>
      <w:r w:rsidRPr="00AA67B0">
        <w:rPr>
          <w:rFonts w:ascii="Times New Roman" w:eastAsia="Times New Roman" w:hAnsi="Times New Roman" w:cs="Times New Roman"/>
          <w:b/>
          <w:i/>
          <w:color w:val="000000" w:themeColor="text1"/>
          <w:sz w:val="24"/>
          <w:szCs w:val="24"/>
        </w:rPr>
        <w:lastRenderedPageBreak/>
        <w:t>Procedure</w:t>
      </w:r>
    </w:p>
    <w:p w14:paraId="5B4A6EC8" w14:textId="77777777" w:rsidR="00EB56D6" w:rsidRPr="00AA67B0" w:rsidRDefault="00EB56D6">
      <w:pPr>
        <w:spacing w:after="0" w:line="360" w:lineRule="auto"/>
        <w:rPr>
          <w:rFonts w:ascii="Times New Roman" w:eastAsia="Times New Roman" w:hAnsi="Times New Roman" w:cs="Times New Roman"/>
          <w:b/>
          <w:color w:val="000000" w:themeColor="text1"/>
          <w:sz w:val="24"/>
          <w:szCs w:val="24"/>
        </w:rPr>
      </w:pPr>
    </w:p>
    <w:p w14:paraId="5188DA7A" w14:textId="792038F2"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A cross-sectional study was conducted. After selecting and devising the previously described evaluation instruments, the survey was drawn up. This also contained an explanation of the goals of the research, an assurance that confidentiality concerning individual data and results would be maintained, and instructions on how to correctly complete the questionnaire. One copy of the survey was sent by email to the 36 professional social work bodies in Spain, whose cooperation was requested to ensure that the information reached social workers who were members of </w:t>
      </w:r>
      <w:r w:rsidR="00005E48" w:rsidRPr="00AA67B0">
        <w:rPr>
          <w:rFonts w:ascii="Times New Roman" w:eastAsia="Times New Roman" w:hAnsi="Times New Roman" w:cs="Times New Roman"/>
          <w:color w:val="000000" w:themeColor="text1"/>
          <w:sz w:val="24"/>
          <w:szCs w:val="24"/>
        </w:rPr>
        <w:t xml:space="preserve">these </w:t>
      </w:r>
      <w:r w:rsidRPr="00AA67B0">
        <w:rPr>
          <w:rFonts w:ascii="Times New Roman" w:eastAsia="Times New Roman" w:hAnsi="Times New Roman" w:cs="Times New Roman"/>
          <w:color w:val="000000" w:themeColor="text1"/>
          <w:sz w:val="24"/>
          <w:szCs w:val="24"/>
        </w:rPr>
        <w:t>professional bodies. In addition, workers who so requested were given a more detailed explanation of the research and the reasons underlying it. Once the study had been approved by the Spanish Professional Bodies Ethics and Research Commission, the next step was to send the proposal to the social workers themselves. The invitation to participate was sent from each Professional Body by different methods: email, newsletter and the professional body webpage. The invitation contained a request for their cooperation and described how they could access a hyperlink through the internet to a self-administered survey (https://es.surveymonkey.com/).</w:t>
      </w:r>
      <w:r w:rsidR="00DD3384" w:rsidRPr="00AA67B0">
        <w:rPr>
          <w:rFonts w:ascii="Times New Roman" w:eastAsia="Times New Roman" w:hAnsi="Times New Roman" w:cs="Times New Roman"/>
          <w:color w:val="000000" w:themeColor="text1"/>
          <w:sz w:val="24"/>
          <w:szCs w:val="24"/>
        </w:rPr>
        <w:t xml:space="preserve"> </w:t>
      </w:r>
      <w:r w:rsidRPr="00AA67B0">
        <w:rPr>
          <w:rFonts w:ascii="Times New Roman" w:eastAsia="Times New Roman" w:hAnsi="Times New Roman" w:cs="Times New Roman"/>
          <w:color w:val="000000" w:themeColor="text1"/>
          <w:sz w:val="24"/>
          <w:szCs w:val="24"/>
        </w:rPr>
        <w:t xml:space="preserve">In addition, the documents provided to each participant contained a request for their consent to take part in the study (in order to </w:t>
      </w:r>
      <w:r w:rsidR="00005E48" w:rsidRPr="00AA67B0">
        <w:rPr>
          <w:rFonts w:ascii="Times New Roman" w:eastAsia="Times New Roman" w:hAnsi="Times New Roman" w:cs="Times New Roman"/>
          <w:color w:val="000000" w:themeColor="text1"/>
          <w:sz w:val="24"/>
          <w:szCs w:val="24"/>
        </w:rPr>
        <w:t xml:space="preserve">complete </w:t>
      </w:r>
      <w:r w:rsidRPr="00AA67B0">
        <w:rPr>
          <w:rFonts w:ascii="Times New Roman" w:eastAsia="Times New Roman" w:hAnsi="Times New Roman" w:cs="Times New Roman"/>
          <w:color w:val="000000" w:themeColor="text1"/>
          <w:sz w:val="24"/>
          <w:szCs w:val="24"/>
        </w:rPr>
        <w:t xml:space="preserve">the survey, it is </w:t>
      </w:r>
      <w:r w:rsidR="00005E48" w:rsidRPr="00AA67B0">
        <w:rPr>
          <w:rFonts w:ascii="Times New Roman" w:eastAsia="Times New Roman" w:hAnsi="Times New Roman" w:cs="Times New Roman"/>
          <w:color w:val="000000" w:themeColor="text1"/>
          <w:sz w:val="24"/>
          <w:szCs w:val="24"/>
        </w:rPr>
        <w:t xml:space="preserve">first </w:t>
      </w:r>
      <w:r w:rsidRPr="00AA67B0">
        <w:rPr>
          <w:rFonts w:ascii="Times New Roman" w:eastAsia="Times New Roman" w:hAnsi="Times New Roman" w:cs="Times New Roman"/>
          <w:color w:val="000000" w:themeColor="text1"/>
          <w:sz w:val="24"/>
          <w:szCs w:val="24"/>
        </w:rPr>
        <w:t xml:space="preserve">necessary to double-click the INFORMED CONSENT icon), together with an assurance that their personal details would be kept confidential. In order to deal with any possible doubts which might arise concerning the aims of the research as well as the use to which the findings would be put or with regard to how to fill in the survey, a telephone number was provided </w:t>
      </w:r>
      <w:r w:rsidR="00005E48" w:rsidRPr="00AA67B0">
        <w:rPr>
          <w:rFonts w:ascii="Times New Roman" w:eastAsia="Times New Roman" w:hAnsi="Times New Roman" w:cs="Times New Roman"/>
          <w:color w:val="000000" w:themeColor="text1"/>
          <w:sz w:val="24"/>
          <w:szCs w:val="24"/>
        </w:rPr>
        <w:t>for</w:t>
      </w:r>
      <w:r w:rsidRPr="00AA67B0">
        <w:rPr>
          <w:rFonts w:ascii="Times New Roman" w:eastAsia="Times New Roman" w:hAnsi="Times New Roman" w:cs="Times New Roman"/>
          <w:color w:val="000000" w:themeColor="text1"/>
          <w:sz w:val="24"/>
          <w:szCs w:val="24"/>
        </w:rPr>
        <w:t xml:space="preserve"> contact</w:t>
      </w:r>
      <w:r w:rsidR="00005E48" w:rsidRPr="00AA67B0">
        <w:rPr>
          <w:rFonts w:ascii="Times New Roman" w:eastAsia="Times New Roman" w:hAnsi="Times New Roman" w:cs="Times New Roman"/>
          <w:color w:val="000000" w:themeColor="text1"/>
          <w:sz w:val="24"/>
          <w:szCs w:val="24"/>
        </w:rPr>
        <w:t>ing</w:t>
      </w:r>
      <w:r w:rsidRPr="00AA67B0">
        <w:rPr>
          <w:rFonts w:ascii="Times New Roman" w:eastAsia="Times New Roman" w:hAnsi="Times New Roman" w:cs="Times New Roman"/>
          <w:color w:val="000000" w:themeColor="text1"/>
          <w:sz w:val="24"/>
          <w:szCs w:val="24"/>
        </w:rPr>
        <w:t xml:space="preserve"> members of the research team </w:t>
      </w:r>
      <w:r w:rsidR="00005E48" w:rsidRPr="00AA67B0">
        <w:rPr>
          <w:rFonts w:ascii="Times New Roman" w:eastAsia="Times New Roman" w:hAnsi="Times New Roman" w:cs="Times New Roman"/>
          <w:color w:val="000000" w:themeColor="text1"/>
          <w:sz w:val="24"/>
          <w:szCs w:val="24"/>
        </w:rPr>
        <w:t>with</w:t>
      </w:r>
      <w:r w:rsidRPr="00AA67B0">
        <w:rPr>
          <w:rFonts w:ascii="Times New Roman" w:eastAsia="Times New Roman" w:hAnsi="Times New Roman" w:cs="Times New Roman"/>
          <w:color w:val="000000" w:themeColor="text1"/>
          <w:sz w:val="24"/>
          <w:szCs w:val="24"/>
        </w:rPr>
        <w:t xml:space="preserve"> any enquiries.</w:t>
      </w:r>
    </w:p>
    <w:p w14:paraId="0A3262C6" w14:textId="6435A734"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Given the fact that those surveyed took part voluntarily and that the sample is based on those who chose to participate, the sampling error cannot be estimated. Findings are based solely on the responses given and are not generali</w:t>
      </w:r>
      <w:r w:rsidR="00DD3384" w:rsidRPr="00AA67B0">
        <w:rPr>
          <w:rFonts w:ascii="Times New Roman" w:eastAsia="Times New Roman" w:hAnsi="Times New Roman" w:cs="Times New Roman"/>
          <w:color w:val="000000" w:themeColor="text1"/>
          <w:sz w:val="24"/>
          <w:szCs w:val="24"/>
        </w:rPr>
        <w:t>s</w:t>
      </w:r>
      <w:r w:rsidRPr="00AA67B0">
        <w:rPr>
          <w:rFonts w:ascii="Times New Roman" w:eastAsia="Times New Roman" w:hAnsi="Times New Roman" w:cs="Times New Roman"/>
          <w:color w:val="000000" w:themeColor="text1"/>
          <w:sz w:val="24"/>
          <w:szCs w:val="24"/>
        </w:rPr>
        <w:t>able to all social workers.</w:t>
      </w:r>
    </w:p>
    <w:p w14:paraId="4A040159" w14:textId="77777777" w:rsidR="00EB56D6" w:rsidRPr="00AA67B0" w:rsidRDefault="004D1F5E">
      <w:pPr>
        <w:spacing w:after="0" w:line="360" w:lineRule="auto"/>
        <w:rPr>
          <w:rFonts w:ascii="Times New Roman" w:eastAsia="Times New Roman" w:hAnsi="Times New Roman" w:cs="Times New Roman"/>
          <w:b/>
          <w:color w:val="000000" w:themeColor="text1"/>
          <w:sz w:val="28"/>
          <w:szCs w:val="28"/>
        </w:rPr>
      </w:pPr>
      <w:r w:rsidRPr="00AA67B0">
        <w:rPr>
          <w:rFonts w:ascii="Times New Roman" w:eastAsia="Times New Roman" w:hAnsi="Times New Roman" w:cs="Times New Roman"/>
          <w:color w:val="000000" w:themeColor="text1"/>
          <w:sz w:val="24"/>
          <w:szCs w:val="24"/>
        </w:rPr>
        <w:t>Surveys were completed between 28 February and 31 May 2013.</w:t>
      </w:r>
    </w:p>
    <w:p w14:paraId="16B48EBF" w14:textId="77777777" w:rsidR="00EB56D6" w:rsidRPr="00AA67B0" w:rsidRDefault="00EB56D6">
      <w:pPr>
        <w:spacing w:after="0" w:line="360" w:lineRule="auto"/>
        <w:rPr>
          <w:rFonts w:ascii="Times New Roman" w:eastAsia="Times New Roman" w:hAnsi="Times New Roman" w:cs="Times New Roman"/>
          <w:b/>
          <w:color w:val="000000" w:themeColor="text1"/>
          <w:sz w:val="28"/>
          <w:szCs w:val="28"/>
        </w:rPr>
      </w:pPr>
    </w:p>
    <w:p w14:paraId="27D4FFF1" w14:textId="77777777" w:rsidR="00EB56D6" w:rsidRPr="00AA67B0" w:rsidRDefault="00EB56D6">
      <w:pPr>
        <w:spacing w:after="0" w:line="360" w:lineRule="auto"/>
        <w:rPr>
          <w:rFonts w:ascii="Times New Roman" w:eastAsia="Times New Roman" w:hAnsi="Times New Roman" w:cs="Times New Roman"/>
          <w:b/>
          <w:i/>
          <w:color w:val="000000" w:themeColor="text1"/>
          <w:sz w:val="24"/>
          <w:szCs w:val="24"/>
        </w:rPr>
      </w:pPr>
    </w:p>
    <w:p w14:paraId="316B9020" w14:textId="77777777" w:rsidR="00EB56D6" w:rsidRPr="00AA67B0" w:rsidRDefault="004D1F5E">
      <w:pPr>
        <w:rPr>
          <w:rFonts w:ascii="Times New Roman" w:eastAsia="Times New Roman" w:hAnsi="Times New Roman" w:cs="Times New Roman"/>
          <w:b/>
          <w:i/>
          <w:color w:val="000000" w:themeColor="text1"/>
          <w:sz w:val="24"/>
          <w:szCs w:val="24"/>
        </w:rPr>
      </w:pPr>
      <w:r w:rsidRPr="00AA67B0">
        <w:rPr>
          <w:color w:val="000000" w:themeColor="text1"/>
        </w:rPr>
        <w:br w:type="page"/>
      </w:r>
    </w:p>
    <w:p w14:paraId="0684F1B9" w14:textId="77777777" w:rsidR="00EB56D6" w:rsidRPr="00AA67B0" w:rsidRDefault="004D1F5E">
      <w:pPr>
        <w:spacing w:after="0" w:line="360" w:lineRule="auto"/>
        <w:rPr>
          <w:rFonts w:ascii="Times New Roman" w:eastAsia="Times New Roman" w:hAnsi="Times New Roman" w:cs="Times New Roman"/>
          <w:b/>
          <w:i/>
          <w:color w:val="000000" w:themeColor="text1"/>
          <w:sz w:val="24"/>
          <w:szCs w:val="24"/>
        </w:rPr>
      </w:pPr>
      <w:r w:rsidRPr="00AA67B0">
        <w:rPr>
          <w:rFonts w:ascii="Times New Roman" w:eastAsia="Times New Roman" w:hAnsi="Times New Roman" w:cs="Times New Roman"/>
          <w:b/>
          <w:i/>
          <w:color w:val="000000" w:themeColor="text1"/>
          <w:sz w:val="24"/>
          <w:szCs w:val="24"/>
        </w:rPr>
        <w:lastRenderedPageBreak/>
        <w:t>Data Analysis</w:t>
      </w:r>
    </w:p>
    <w:p w14:paraId="3539EE5F" w14:textId="77777777" w:rsidR="00EB56D6" w:rsidRPr="00AA67B0" w:rsidRDefault="00EB56D6">
      <w:pPr>
        <w:spacing w:after="0" w:line="360" w:lineRule="auto"/>
        <w:rPr>
          <w:rFonts w:ascii="Times New Roman" w:eastAsia="Times New Roman" w:hAnsi="Times New Roman" w:cs="Times New Roman"/>
          <w:b/>
          <w:color w:val="000000" w:themeColor="text1"/>
          <w:sz w:val="24"/>
          <w:szCs w:val="24"/>
        </w:rPr>
      </w:pPr>
    </w:p>
    <w:p w14:paraId="0A7A73C7" w14:textId="795C6980" w:rsidR="00EB56D6" w:rsidRPr="00AA67B0" w:rsidRDefault="004D1F5E">
      <w:pPr>
        <w:spacing w:after="0" w:line="360" w:lineRule="auto"/>
        <w:rPr>
          <w:color w:val="000000" w:themeColor="text1"/>
        </w:rPr>
      </w:pPr>
      <w:r w:rsidRPr="00AA67B0">
        <w:rPr>
          <w:rFonts w:ascii="Times New Roman" w:eastAsia="Times New Roman" w:hAnsi="Times New Roman" w:cs="Times New Roman"/>
          <w:color w:val="000000" w:themeColor="text1"/>
          <w:sz w:val="24"/>
          <w:szCs w:val="24"/>
        </w:rPr>
        <w:t>The statistical analyses were conducted with SPSS Version 22.0. Reliability tests were performed on each of the scales in order to determine alpha coefficients for the study sample. For the descriptive analysis, we calculated the central tendency and the statistical dispersion for each variable. Correlation coefficients were calculated between all variables of the study.</w:t>
      </w:r>
      <w:r w:rsidRPr="00AA67B0">
        <w:rPr>
          <w:color w:val="000000" w:themeColor="text1"/>
        </w:rPr>
        <w:t xml:space="preserve"> </w:t>
      </w:r>
    </w:p>
    <w:p w14:paraId="16B854CA" w14:textId="77777777"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Finally, hierarchical linear regression analysis was used, and the socio-demographic characteristics were introduced as predictor variables, while the three dimensions of burnout (EE, DP and PA) were introduced as dependent variables. </w:t>
      </w:r>
    </w:p>
    <w:p w14:paraId="38998567" w14:textId="310511E3"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The increase in R</w:t>
      </w:r>
      <w:r w:rsidRPr="00AA67B0">
        <w:rPr>
          <w:rFonts w:ascii="Times New Roman" w:eastAsia="Times New Roman" w:hAnsi="Times New Roman" w:cs="Times New Roman"/>
          <w:color w:val="000000" w:themeColor="text1"/>
          <w:sz w:val="24"/>
          <w:szCs w:val="24"/>
          <w:vertAlign w:val="superscript"/>
        </w:rPr>
        <w:t>2</w:t>
      </w:r>
      <w:r w:rsidRPr="00AA67B0">
        <w:rPr>
          <w:rFonts w:ascii="Times New Roman" w:eastAsia="Times New Roman" w:hAnsi="Times New Roman" w:cs="Times New Roman"/>
          <w:color w:val="000000" w:themeColor="text1"/>
          <w:sz w:val="24"/>
          <w:szCs w:val="24"/>
        </w:rPr>
        <w:t xml:space="preserve"> (R</w:t>
      </w:r>
      <w:r w:rsidRPr="00AA67B0">
        <w:rPr>
          <w:rFonts w:ascii="Times New Roman" w:eastAsia="Times New Roman" w:hAnsi="Times New Roman" w:cs="Times New Roman"/>
          <w:color w:val="000000" w:themeColor="text1"/>
          <w:sz w:val="24"/>
          <w:szCs w:val="24"/>
          <w:vertAlign w:val="superscript"/>
        </w:rPr>
        <w:t>2</w:t>
      </w:r>
      <w:r w:rsidR="00005E48" w:rsidRPr="00AA67B0">
        <w:rPr>
          <w:rFonts w:ascii="Times New Roman" w:eastAsia="Times New Roman" w:hAnsi="Times New Roman" w:cs="Times New Roman"/>
          <w:color w:val="000000" w:themeColor="text1"/>
          <w:sz w:val="24"/>
          <w:szCs w:val="24"/>
          <w:vertAlign w:val="superscript"/>
        </w:rPr>
        <w:t xml:space="preserve"> </w:t>
      </w:r>
      <w:r w:rsidRPr="00AA67B0">
        <w:rPr>
          <w:rFonts w:ascii="Times New Roman" w:eastAsia="Times New Roman" w:hAnsi="Times New Roman" w:cs="Times New Roman"/>
          <w:color w:val="000000" w:themeColor="text1"/>
          <w:sz w:val="24"/>
          <w:szCs w:val="24"/>
        </w:rPr>
        <w:t xml:space="preserve">changes) were calculated to determine the relative contributions of each set of variables. The standardised coefficients (β) were calculated in order to compare the relative importance of each variable in the model. </w:t>
      </w:r>
    </w:p>
    <w:p w14:paraId="749F86D9" w14:textId="6CB24960"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The data was verified for multicollinearity, using </w:t>
      </w:r>
      <w:r w:rsidR="00005E48" w:rsidRPr="00AA67B0">
        <w:rPr>
          <w:rFonts w:ascii="Times New Roman" w:eastAsia="Times New Roman" w:hAnsi="Times New Roman" w:cs="Times New Roman"/>
          <w:color w:val="000000" w:themeColor="text1"/>
          <w:sz w:val="24"/>
          <w:szCs w:val="24"/>
        </w:rPr>
        <w:t xml:space="preserve">a </w:t>
      </w:r>
      <w:r w:rsidRPr="00AA67B0">
        <w:rPr>
          <w:rFonts w:ascii="Times New Roman" w:eastAsia="Times New Roman" w:hAnsi="Times New Roman" w:cs="Times New Roman"/>
          <w:color w:val="000000" w:themeColor="text1"/>
          <w:sz w:val="24"/>
          <w:szCs w:val="24"/>
        </w:rPr>
        <w:t>tolerance and variance inflation factor (VIF). There were no signs of multicollinearity in any of the three regression models. All statistical tests were two-sided, and a significance level of 0.05 was considered relevant.</w:t>
      </w:r>
    </w:p>
    <w:p w14:paraId="27052925" w14:textId="77777777" w:rsidR="00EB56D6" w:rsidRPr="00AA67B0" w:rsidRDefault="00EB56D6">
      <w:pPr>
        <w:rPr>
          <w:rFonts w:ascii="Times New Roman" w:eastAsia="Times New Roman" w:hAnsi="Times New Roman" w:cs="Times New Roman"/>
          <w:b/>
          <w:color w:val="000000" w:themeColor="text1"/>
          <w:sz w:val="24"/>
          <w:szCs w:val="24"/>
        </w:rPr>
      </w:pPr>
    </w:p>
    <w:p w14:paraId="0C084317" w14:textId="77777777" w:rsidR="00EB56D6" w:rsidRPr="00AA67B0" w:rsidRDefault="004D1F5E">
      <w:pPr>
        <w:spacing w:before="240" w:after="0" w:line="360" w:lineRule="auto"/>
        <w:rPr>
          <w:rFonts w:ascii="Times New Roman" w:eastAsia="Times New Roman" w:hAnsi="Times New Roman" w:cs="Times New Roman"/>
          <w:color w:val="000000" w:themeColor="text1"/>
          <w:sz w:val="24"/>
          <w:szCs w:val="24"/>
          <w:highlight w:val="yellow"/>
        </w:rPr>
      </w:pPr>
      <w:r w:rsidRPr="00AA67B0">
        <w:rPr>
          <w:rFonts w:ascii="Times New Roman" w:eastAsia="Times New Roman" w:hAnsi="Times New Roman" w:cs="Times New Roman"/>
          <w:b/>
          <w:color w:val="000000" w:themeColor="text1"/>
          <w:sz w:val="24"/>
          <w:szCs w:val="24"/>
        </w:rPr>
        <w:t>Results</w:t>
      </w:r>
    </w:p>
    <w:p w14:paraId="34028A3F" w14:textId="29D4FFA8"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In order to describe the characteristics of the MBI-HSS distribution, the descriptive statistics of the scales, the means, the standard deviations, the asymmetry and the kurtosis of the variables were estimated (Table 2). The value of the asymmetry shows that the three subscales of the MBI-HSS have values ​​between 0.33 and 0.93. None of the scales exceeds the range +/- 1. Similar results are observed in the </w:t>
      </w:r>
      <w:r w:rsidR="00F211B7" w:rsidRPr="00AA67B0">
        <w:rPr>
          <w:rFonts w:ascii="Times New Roman" w:eastAsia="Times New Roman" w:hAnsi="Times New Roman" w:cs="Times New Roman"/>
          <w:color w:val="000000" w:themeColor="text1"/>
          <w:sz w:val="24"/>
          <w:szCs w:val="24"/>
        </w:rPr>
        <w:t>Kurtosis</w:t>
      </w:r>
      <w:r w:rsidRPr="00AA67B0">
        <w:rPr>
          <w:rFonts w:ascii="Times New Roman" w:eastAsia="Times New Roman" w:hAnsi="Times New Roman" w:cs="Times New Roman"/>
          <w:color w:val="000000" w:themeColor="text1"/>
          <w:sz w:val="24"/>
          <w:szCs w:val="24"/>
        </w:rPr>
        <w:t xml:space="preserve"> measurements. The distribution of each subscale is contrasted after performing the Z test of Kolmogorov-Smirnov and rejecting the normality hypothesis (ZK-S = 2.33, p = 0.001 (</w:t>
      </w:r>
      <w:r w:rsidR="00C038E4" w:rsidRPr="00AA67B0">
        <w:rPr>
          <w:rFonts w:ascii="Times New Roman" w:eastAsia="Times New Roman" w:hAnsi="Times New Roman" w:cs="Times New Roman"/>
          <w:color w:val="000000" w:themeColor="text1"/>
          <w:sz w:val="24"/>
          <w:szCs w:val="24"/>
        </w:rPr>
        <w:t>EE</w:t>
      </w:r>
      <w:r w:rsidRPr="00AA67B0">
        <w:rPr>
          <w:rFonts w:ascii="Times New Roman" w:eastAsia="Times New Roman" w:hAnsi="Times New Roman" w:cs="Times New Roman"/>
          <w:color w:val="000000" w:themeColor="text1"/>
          <w:sz w:val="24"/>
          <w:szCs w:val="24"/>
        </w:rPr>
        <w:t>), ZK-S = 4.13, p = 0.001 (DP), ZK -S = 2.61, p = 0.001 (P</w:t>
      </w:r>
      <w:r w:rsidR="00C038E4" w:rsidRPr="00AA67B0">
        <w:rPr>
          <w:rFonts w:ascii="Times New Roman" w:eastAsia="Times New Roman" w:hAnsi="Times New Roman" w:cs="Times New Roman"/>
          <w:color w:val="000000" w:themeColor="text1"/>
          <w:sz w:val="24"/>
          <w:szCs w:val="24"/>
        </w:rPr>
        <w:t>A</w:t>
      </w:r>
      <w:r w:rsidRPr="00AA67B0">
        <w:rPr>
          <w:rFonts w:ascii="Times New Roman" w:eastAsia="Times New Roman" w:hAnsi="Times New Roman" w:cs="Times New Roman"/>
          <w:color w:val="000000" w:themeColor="text1"/>
          <w:sz w:val="24"/>
          <w:szCs w:val="24"/>
        </w:rPr>
        <w:t>)).</w:t>
      </w:r>
    </w:p>
    <w:p w14:paraId="6918DB8A" w14:textId="5096953D"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 Although the scores of the subscales of the MBI were not distributed normally, it has been demonstrated that multiple linear regression is robust at moderate / severe deviations from normality in the context of moderate samples (that is to say, samples which are not very small) (Lumley, Diehr, Emerson, &amp; Chen</w:t>
      </w:r>
      <w:r w:rsidR="002362A7"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2002), which was the case for this study.</w:t>
      </w:r>
    </w:p>
    <w:p w14:paraId="79AB280D" w14:textId="77777777" w:rsidR="00EB56D6" w:rsidRPr="00AA67B0" w:rsidRDefault="00EB56D6">
      <w:pPr>
        <w:spacing w:after="0" w:line="360" w:lineRule="auto"/>
        <w:rPr>
          <w:rFonts w:ascii="Times New Roman" w:eastAsia="Times New Roman" w:hAnsi="Times New Roman" w:cs="Times New Roman"/>
          <w:color w:val="000000" w:themeColor="text1"/>
          <w:sz w:val="24"/>
          <w:szCs w:val="24"/>
        </w:rPr>
      </w:pPr>
    </w:p>
    <w:p w14:paraId="362C82A5" w14:textId="77777777" w:rsidR="00EB56D6" w:rsidRPr="00AA67B0" w:rsidRDefault="00EB56D6">
      <w:pPr>
        <w:spacing w:after="0" w:line="360" w:lineRule="auto"/>
        <w:rPr>
          <w:rFonts w:ascii="Times New Roman" w:eastAsia="Times New Roman" w:hAnsi="Times New Roman" w:cs="Times New Roman"/>
          <w:color w:val="000000" w:themeColor="text1"/>
          <w:sz w:val="24"/>
          <w:szCs w:val="24"/>
        </w:rPr>
      </w:pPr>
    </w:p>
    <w:p w14:paraId="649CBA99" w14:textId="77777777" w:rsidR="00570005" w:rsidRPr="00AA67B0" w:rsidRDefault="00570005">
      <w:pPr>
        <w:spacing w:after="0" w:line="360" w:lineRule="auto"/>
        <w:rPr>
          <w:rFonts w:ascii="Times New Roman" w:eastAsia="Times New Roman" w:hAnsi="Times New Roman" w:cs="Times New Roman"/>
          <w:b/>
          <w:color w:val="000000" w:themeColor="text1"/>
        </w:rPr>
      </w:pPr>
    </w:p>
    <w:p w14:paraId="6BAF646F" w14:textId="77777777" w:rsidR="00570005" w:rsidRPr="00AA67B0" w:rsidRDefault="00570005">
      <w:pPr>
        <w:spacing w:after="0" w:line="360" w:lineRule="auto"/>
        <w:rPr>
          <w:rFonts w:ascii="Times New Roman" w:eastAsia="Times New Roman" w:hAnsi="Times New Roman" w:cs="Times New Roman"/>
          <w:b/>
          <w:color w:val="000000" w:themeColor="text1"/>
        </w:rPr>
      </w:pPr>
    </w:p>
    <w:p w14:paraId="42ACE2E5" w14:textId="77777777" w:rsidR="00570005" w:rsidRPr="00AA67B0" w:rsidRDefault="00570005">
      <w:pPr>
        <w:spacing w:after="0" w:line="360" w:lineRule="auto"/>
        <w:rPr>
          <w:rFonts w:ascii="Times New Roman" w:eastAsia="Times New Roman" w:hAnsi="Times New Roman" w:cs="Times New Roman"/>
          <w:b/>
          <w:color w:val="000000" w:themeColor="text1"/>
        </w:rPr>
      </w:pPr>
    </w:p>
    <w:p w14:paraId="7D894CAB" w14:textId="77777777" w:rsidR="00570005" w:rsidRPr="00AA67B0" w:rsidRDefault="00570005">
      <w:pPr>
        <w:spacing w:after="0" w:line="360" w:lineRule="auto"/>
        <w:rPr>
          <w:rFonts w:ascii="Times New Roman" w:eastAsia="Times New Roman" w:hAnsi="Times New Roman" w:cs="Times New Roman"/>
          <w:b/>
          <w:color w:val="000000" w:themeColor="text1"/>
        </w:rPr>
      </w:pPr>
    </w:p>
    <w:p w14:paraId="55BB83A6" w14:textId="77777777" w:rsidR="008B0A11" w:rsidRPr="00AA67B0" w:rsidRDefault="008B0A11">
      <w:pPr>
        <w:spacing w:after="0" w:line="360" w:lineRule="auto"/>
        <w:rPr>
          <w:rFonts w:ascii="Times New Roman" w:eastAsia="Times New Roman" w:hAnsi="Times New Roman" w:cs="Times New Roman"/>
          <w:b/>
          <w:color w:val="000000" w:themeColor="text1"/>
        </w:rPr>
      </w:pPr>
    </w:p>
    <w:p w14:paraId="174F4864" w14:textId="77777777" w:rsidR="00EB56D6" w:rsidRPr="00AA67B0" w:rsidRDefault="004D1F5E">
      <w:pPr>
        <w:spacing w:after="0" w:line="360" w:lineRule="auto"/>
        <w:rPr>
          <w:rFonts w:ascii="Times New Roman" w:eastAsia="Times New Roman" w:hAnsi="Times New Roman" w:cs="Times New Roman"/>
          <w:b/>
          <w:color w:val="000000" w:themeColor="text1"/>
        </w:rPr>
      </w:pPr>
      <w:r w:rsidRPr="00AA67B0">
        <w:rPr>
          <w:rFonts w:ascii="Times New Roman" w:eastAsia="Times New Roman" w:hAnsi="Times New Roman" w:cs="Times New Roman"/>
          <w:b/>
          <w:color w:val="000000" w:themeColor="text1"/>
        </w:rPr>
        <w:lastRenderedPageBreak/>
        <w:t>Table 2</w:t>
      </w:r>
    </w:p>
    <w:p w14:paraId="5798D900" w14:textId="77777777" w:rsidR="00EB56D6" w:rsidRPr="00AA67B0" w:rsidRDefault="004D1F5E">
      <w:pPr>
        <w:spacing w:after="0" w:line="360" w:lineRule="auto"/>
        <w:rPr>
          <w:rFonts w:ascii="Times New Roman" w:eastAsia="Times New Roman" w:hAnsi="Times New Roman" w:cs="Times New Roman"/>
          <w:b/>
          <w:color w:val="000000" w:themeColor="text1"/>
        </w:rPr>
      </w:pPr>
      <w:r w:rsidRPr="00AA67B0">
        <w:rPr>
          <w:rFonts w:ascii="Times New Roman" w:eastAsia="Times New Roman" w:hAnsi="Times New Roman" w:cs="Times New Roman"/>
          <w:b/>
          <w:color w:val="000000" w:themeColor="text1"/>
        </w:rPr>
        <w:t>Descriptive statistics for the three subscales of the MBI-HSS</w:t>
      </w:r>
    </w:p>
    <w:p w14:paraId="1DC9C971" w14:textId="77777777" w:rsidR="00EB56D6" w:rsidRPr="00AA67B0" w:rsidRDefault="00EB56D6">
      <w:pPr>
        <w:spacing w:after="0" w:line="360" w:lineRule="auto"/>
        <w:rPr>
          <w:rFonts w:ascii="Times New Roman" w:eastAsia="Times New Roman" w:hAnsi="Times New Roman" w:cs="Times New Roman"/>
          <w:color w:val="000000" w:themeColor="text1"/>
          <w:sz w:val="24"/>
          <w:szCs w:val="24"/>
        </w:rPr>
      </w:pPr>
    </w:p>
    <w:tbl>
      <w:tblPr>
        <w:tblStyle w:val="a0"/>
        <w:tblW w:w="9638"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607"/>
        <w:gridCol w:w="1607"/>
        <w:gridCol w:w="1606"/>
        <w:gridCol w:w="1606"/>
        <w:gridCol w:w="1606"/>
        <w:gridCol w:w="1606"/>
      </w:tblGrid>
      <w:tr w:rsidR="00570005" w:rsidRPr="00AA67B0" w14:paraId="79ACA9BE" w14:textId="77777777">
        <w:tc>
          <w:tcPr>
            <w:tcW w:w="1607" w:type="dxa"/>
            <w:tcBorders>
              <w:top w:val="single" w:sz="4" w:space="0" w:color="000000"/>
              <w:bottom w:val="single" w:sz="4" w:space="0" w:color="000000"/>
            </w:tcBorders>
          </w:tcPr>
          <w:p w14:paraId="6141B1DD" w14:textId="77777777" w:rsidR="00EB56D6" w:rsidRPr="00AA67B0" w:rsidRDefault="00EB56D6">
            <w:pPr>
              <w:jc w:val="center"/>
              <w:rPr>
                <w:b/>
                <w:color w:val="000000" w:themeColor="text1"/>
                <w:sz w:val="22"/>
                <w:szCs w:val="22"/>
              </w:rPr>
            </w:pPr>
          </w:p>
        </w:tc>
        <w:tc>
          <w:tcPr>
            <w:tcW w:w="1607" w:type="dxa"/>
            <w:tcBorders>
              <w:top w:val="single" w:sz="4" w:space="0" w:color="000000"/>
              <w:bottom w:val="single" w:sz="4" w:space="0" w:color="000000"/>
            </w:tcBorders>
          </w:tcPr>
          <w:p w14:paraId="305165DE" w14:textId="77777777" w:rsidR="00EB56D6" w:rsidRPr="00AA67B0" w:rsidRDefault="00D813B6">
            <w:pPr>
              <w:jc w:val="center"/>
              <w:rPr>
                <w:color w:val="000000" w:themeColor="text1"/>
                <w:sz w:val="22"/>
                <w:szCs w:val="22"/>
              </w:rPr>
            </w:pPr>
            <w:r w:rsidRPr="00AA67B0">
              <w:rPr>
                <w:color w:val="000000" w:themeColor="text1"/>
                <w:sz w:val="22"/>
                <w:szCs w:val="22"/>
              </w:rPr>
              <w:t>Mean</w:t>
            </w:r>
          </w:p>
        </w:tc>
        <w:tc>
          <w:tcPr>
            <w:tcW w:w="1606" w:type="dxa"/>
            <w:tcBorders>
              <w:top w:val="single" w:sz="4" w:space="0" w:color="000000"/>
              <w:bottom w:val="single" w:sz="4" w:space="0" w:color="000000"/>
            </w:tcBorders>
          </w:tcPr>
          <w:p w14:paraId="3DBDD5C8" w14:textId="77777777" w:rsidR="00EB56D6" w:rsidRPr="00AA67B0" w:rsidRDefault="004D1F5E">
            <w:pPr>
              <w:jc w:val="center"/>
              <w:rPr>
                <w:color w:val="000000" w:themeColor="text1"/>
                <w:sz w:val="22"/>
                <w:szCs w:val="22"/>
              </w:rPr>
            </w:pPr>
            <w:r w:rsidRPr="00AA67B0">
              <w:rPr>
                <w:color w:val="000000" w:themeColor="text1"/>
                <w:sz w:val="22"/>
                <w:szCs w:val="22"/>
              </w:rPr>
              <w:t>Standard deviation</w:t>
            </w:r>
          </w:p>
        </w:tc>
        <w:tc>
          <w:tcPr>
            <w:tcW w:w="1606" w:type="dxa"/>
            <w:tcBorders>
              <w:top w:val="single" w:sz="4" w:space="0" w:color="000000"/>
              <w:bottom w:val="single" w:sz="4" w:space="0" w:color="000000"/>
            </w:tcBorders>
          </w:tcPr>
          <w:p w14:paraId="36BF3538" w14:textId="77777777" w:rsidR="00EB56D6" w:rsidRPr="00AA67B0" w:rsidRDefault="004D1F5E">
            <w:pPr>
              <w:jc w:val="center"/>
              <w:rPr>
                <w:color w:val="000000" w:themeColor="text1"/>
                <w:sz w:val="22"/>
                <w:szCs w:val="22"/>
              </w:rPr>
            </w:pPr>
            <w:r w:rsidRPr="00AA67B0">
              <w:rPr>
                <w:color w:val="000000" w:themeColor="text1"/>
                <w:sz w:val="22"/>
                <w:szCs w:val="22"/>
              </w:rPr>
              <w:t>Asymmetry</w:t>
            </w:r>
          </w:p>
        </w:tc>
        <w:tc>
          <w:tcPr>
            <w:tcW w:w="1606" w:type="dxa"/>
            <w:tcBorders>
              <w:top w:val="single" w:sz="4" w:space="0" w:color="000000"/>
              <w:bottom w:val="single" w:sz="4" w:space="0" w:color="000000"/>
            </w:tcBorders>
          </w:tcPr>
          <w:p w14:paraId="60697DD5" w14:textId="77777777" w:rsidR="00EB56D6" w:rsidRPr="00AA67B0" w:rsidRDefault="004D1F5E">
            <w:pPr>
              <w:jc w:val="center"/>
              <w:rPr>
                <w:color w:val="000000" w:themeColor="text1"/>
                <w:sz w:val="22"/>
                <w:szCs w:val="22"/>
              </w:rPr>
            </w:pPr>
            <w:r w:rsidRPr="00AA67B0">
              <w:rPr>
                <w:color w:val="000000" w:themeColor="text1"/>
                <w:sz w:val="22"/>
                <w:szCs w:val="22"/>
              </w:rPr>
              <w:t>Kurtosis</w:t>
            </w:r>
          </w:p>
        </w:tc>
        <w:tc>
          <w:tcPr>
            <w:tcW w:w="1606" w:type="dxa"/>
            <w:tcBorders>
              <w:top w:val="single" w:sz="4" w:space="0" w:color="000000"/>
              <w:bottom w:val="single" w:sz="4" w:space="0" w:color="000000"/>
            </w:tcBorders>
          </w:tcPr>
          <w:p w14:paraId="4A0D4213" w14:textId="77777777" w:rsidR="00EB56D6" w:rsidRPr="00AA67B0" w:rsidRDefault="004D1F5E">
            <w:pPr>
              <w:jc w:val="center"/>
              <w:rPr>
                <w:color w:val="000000" w:themeColor="text1"/>
                <w:sz w:val="22"/>
                <w:szCs w:val="22"/>
              </w:rPr>
            </w:pPr>
            <w:r w:rsidRPr="00AA67B0">
              <w:rPr>
                <w:color w:val="000000" w:themeColor="text1"/>
                <w:sz w:val="22"/>
                <w:szCs w:val="22"/>
              </w:rPr>
              <w:t>Cronbach’s alpha</w:t>
            </w:r>
          </w:p>
        </w:tc>
      </w:tr>
      <w:tr w:rsidR="00570005" w:rsidRPr="00AA67B0" w14:paraId="48635340" w14:textId="77777777">
        <w:tc>
          <w:tcPr>
            <w:tcW w:w="1607" w:type="dxa"/>
            <w:tcBorders>
              <w:top w:val="single" w:sz="4" w:space="0" w:color="000000"/>
            </w:tcBorders>
          </w:tcPr>
          <w:p w14:paraId="6FF8CBDE" w14:textId="77777777" w:rsidR="00EB56D6" w:rsidRPr="00AA67B0" w:rsidRDefault="004D1F5E">
            <w:pPr>
              <w:rPr>
                <w:b/>
                <w:color w:val="000000" w:themeColor="text1"/>
                <w:sz w:val="22"/>
                <w:szCs w:val="22"/>
              </w:rPr>
            </w:pPr>
            <w:r w:rsidRPr="00AA67B0">
              <w:rPr>
                <w:b/>
                <w:color w:val="000000" w:themeColor="text1"/>
                <w:sz w:val="22"/>
                <w:szCs w:val="22"/>
              </w:rPr>
              <w:t>EE</w:t>
            </w:r>
          </w:p>
        </w:tc>
        <w:tc>
          <w:tcPr>
            <w:tcW w:w="1607" w:type="dxa"/>
            <w:tcBorders>
              <w:top w:val="single" w:sz="4" w:space="0" w:color="000000"/>
            </w:tcBorders>
          </w:tcPr>
          <w:p w14:paraId="36B1E894" w14:textId="77777777" w:rsidR="00EB56D6" w:rsidRPr="00AA67B0" w:rsidRDefault="004D1F5E">
            <w:pPr>
              <w:jc w:val="center"/>
              <w:rPr>
                <w:color w:val="000000" w:themeColor="text1"/>
                <w:sz w:val="22"/>
                <w:szCs w:val="22"/>
              </w:rPr>
            </w:pPr>
            <w:r w:rsidRPr="00AA67B0">
              <w:rPr>
                <w:color w:val="000000" w:themeColor="text1"/>
                <w:sz w:val="22"/>
                <w:szCs w:val="22"/>
              </w:rPr>
              <w:t>20.13</w:t>
            </w:r>
          </w:p>
        </w:tc>
        <w:tc>
          <w:tcPr>
            <w:tcW w:w="1606" w:type="dxa"/>
            <w:tcBorders>
              <w:top w:val="single" w:sz="4" w:space="0" w:color="000000"/>
            </w:tcBorders>
          </w:tcPr>
          <w:p w14:paraId="62344304" w14:textId="77777777" w:rsidR="00EB56D6" w:rsidRPr="00AA67B0" w:rsidRDefault="004D1F5E">
            <w:pPr>
              <w:jc w:val="center"/>
              <w:rPr>
                <w:color w:val="000000" w:themeColor="text1"/>
                <w:sz w:val="22"/>
                <w:szCs w:val="22"/>
              </w:rPr>
            </w:pPr>
            <w:r w:rsidRPr="00AA67B0">
              <w:rPr>
                <w:color w:val="000000" w:themeColor="text1"/>
                <w:sz w:val="22"/>
                <w:szCs w:val="22"/>
              </w:rPr>
              <w:t>9.87</w:t>
            </w:r>
          </w:p>
        </w:tc>
        <w:tc>
          <w:tcPr>
            <w:tcW w:w="1606" w:type="dxa"/>
            <w:tcBorders>
              <w:top w:val="single" w:sz="4" w:space="0" w:color="000000"/>
            </w:tcBorders>
          </w:tcPr>
          <w:p w14:paraId="09FBD4B6" w14:textId="77777777" w:rsidR="00EB56D6" w:rsidRPr="00AA67B0" w:rsidRDefault="004D1F5E">
            <w:pPr>
              <w:jc w:val="center"/>
              <w:rPr>
                <w:color w:val="000000" w:themeColor="text1"/>
                <w:sz w:val="22"/>
                <w:szCs w:val="22"/>
              </w:rPr>
            </w:pPr>
            <w:r w:rsidRPr="00AA67B0">
              <w:rPr>
                <w:color w:val="000000" w:themeColor="text1"/>
                <w:sz w:val="22"/>
                <w:szCs w:val="22"/>
              </w:rPr>
              <w:t>0.33</w:t>
            </w:r>
          </w:p>
        </w:tc>
        <w:tc>
          <w:tcPr>
            <w:tcW w:w="1606" w:type="dxa"/>
            <w:tcBorders>
              <w:top w:val="single" w:sz="4" w:space="0" w:color="000000"/>
            </w:tcBorders>
          </w:tcPr>
          <w:p w14:paraId="1D1BFEF2" w14:textId="77777777" w:rsidR="00EB56D6" w:rsidRPr="00AA67B0" w:rsidRDefault="004D1F5E">
            <w:pPr>
              <w:jc w:val="center"/>
              <w:rPr>
                <w:color w:val="000000" w:themeColor="text1"/>
                <w:sz w:val="22"/>
                <w:szCs w:val="22"/>
              </w:rPr>
            </w:pPr>
            <w:r w:rsidRPr="00AA67B0">
              <w:rPr>
                <w:color w:val="000000" w:themeColor="text1"/>
                <w:sz w:val="22"/>
                <w:szCs w:val="22"/>
              </w:rPr>
              <w:t>-0.72</w:t>
            </w:r>
          </w:p>
        </w:tc>
        <w:tc>
          <w:tcPr>
            <w:tcW w:w="1606" w:type="dxa"/>
            <w:tcBorders>
              <w:top w:val="single" w:sz="4" w:space="0" w:color="000000"/>
            </w:tcBorders>
          </w:tcPr>
          <w:p w14:paraId="56103F90" w14:textId="77777777" w:rsidR="00EB56D6" w:rsidRPr="00AA67B0" w:rsidRDefault="004D1F5E">
            <w:pPr>
              <w:jc w:val="center"/>
              <w:rPr>
                <w:color w:val="000000" w:themeColor="text1"/>
                <w:sz w:val="22"/>
                <w:szCs w:val="22"/>
              </w:rPr>
            </w:pPr>
            <w:r w:rsidRPr="00AA67B0">
              <w:rPr>
                <w:color w:val="000000" w:themeColor="text1"/>
                <w:sz w:val="22"/>
                <w:szCs w:val="22"/>
              </w:rPr>
              <w:t>0.89</w:t>
            </w:r>
          </w:p>
        </w:tc>
      </w:tr>
      <w:tr w:rsidR="00570005" w:rsidRPr="00AA67B0" w14:paraId="669E3257" w14:textId="77777777">
        <w:tc>
          <w:tcPr>
            <w:tcW w:w="1607" w:type="dxa"/>
          </w:tcPr>
          <w:p w14:paraId="257D9338" w14:textId="77777777" w:rsidR="00EB56D6" w:rsidRPr="00AA67B0" w:rsidRDefault="004D1F5E">
            <w:pPr>
              <w:rPr>
                <w:b/>
                <w:color w:val="000000" w:themeColor="text1"/>
                <w:sz w:val="22"/>
                <w:szCs w:val="22"/>
              </w:rPr>
            </w:pPr>
            <w:r w:rsidRPr="00AA67B0">
              <w:rPr>
                <w:b/>
                <w:color w:val="000000" w:themeColor="text1"/>
                <w:sz w:val="22"/>
                <w:szCs w:val="22"/>
              </w:rPr>
              <w:t>PA</w:t>
            </w:r>
          </w:p>
        </w:tc>
        <w:tc>
          <w:tcPr>
            <w:tcW w:w="1607" w:type="dxa"/>
          </w:tcPr>
          <w:p w14:paraId="5D85A46F" w14:textId="77777777" w:rsidR="00EB56D6" w:rsidRPr="00AA67B0" w:rsidRDefault="004D1F5E">
            <w:pPr>
              <w:jc w:val="center"/>
              <w:rPr>
                <w:color w:val="000000" w:themeColor="text1"/>
                <w:sz w:val="22"/>
                <w:szCs w:val="22"/>
              </w:rPr>
            </w:pPr>
            <w:r w:rsidRPr="00AA67B0">
              <w:rPr>
                <w:color w:val="000000" w:themeColor="text1"/>
                <w:sz w:val="22"/>
                <w:szCs w:val="22"/>
              </w:rPr>
              <w:t>32.00</w:t>
            </w:r>
          </w:p>
        </w:tc>
        <w:tc>
          <w:tcPr>
            <w:tcW w:w="1606" w:type="dxa"/>
          </w:tcPr>
          <w:p w14:paraId="6B020F09" w14:textId="77777777" w:rsidR="00EB56D6" w:rsidRPr="00AA67B0" w:rsidRDefault="004D1F5E">
            <w:pPr>
              <w:jc w:val="center"/>
              <w:rPr>
                <w:color w:val="000000" w:themeColor="text1"/>
                <w:sz w:val="22"/>
                <w:szCs w:val="22"/>
              </w:rPr>
            </w:pPr>
            <w:r w:rsidRPr="00AA67B0">
              <w:rPr>
                <w:color w:val="000000" w:themeColor="text1"/>
                <w:sz w:val="22"/>
                <w:szCs w:val="22"/>
              </w:rPr>
              <w:t>5.76</w:t>
            </w:r>
          </w:p>
        </w:tc>
        <w:tc>
          <w:tcPr>
            <w:tcW w:w="1606" w:type="dxa"/>
          </w:tcPr>
          <w:p w14:paraId="4907CEDF" w14:textId="77777777" w:rsidR="00EB56D6" w:rsidRPr="00AA67B0" w:rsidRDefault="004D1F5E">
            <w:pPr>
              <w:jc w:val="center"/>
              <w:rPr>
                <w:color w:val="000000" w:themeColor="text1"/>
                <w:sz w:val="22"/>
                <w:szCs w:val="22"/>
              </w:rPr>
            </w:pPr>
            <w:r w:rsidRPr="00AA67B0">
              <w:rPr>
                <w:color w:val="000000" w:themeColor="text1"/>
                <w:sz w:val="22"/>
                <w:szCs w:val="22"/>
              </w:rPr>
              <w:t>-0.78</w:t>
            </w:r>
          </w:p>
        </w:tc>
        <w:tc>
          <w:tcPr>
            <w:tcW w:w="1606" w:type="dxa"/>
          </w:tcPr>
          <w:p w14:paraId="4B980B91" w14:textId="77777777" w:rsidR="00EB56D6" w:rsidRPr="00AA67B0" w:rsidRDefault="004D1F5E">
            <w:pPr>
              <w:jc w:val="center"/>
              <w:rPr>
                <w:color w:val="000000" w:themeColor="text1"/>
                <w:sz w:val="22"/>
                <w:szCs w:val="22"/>
              </w:rPr>
            </w:pPr>
            <w:r w:rsidRPr="00AA67B0">
              <w:rPr>
                <w:color w:val="000000" w:themeColor="text1"/>
                <w:sz w:val="22"/>
                <w:szCs w:val="22"/>
              </w:rPr>
              <w:t>0.99</w:t>
            </w:r>
          </w:p>
        </w:tc>
        <w:tc>
          <w:tcPr>
            <w:tcW w:w="1606" w:type="dxa"/>
          </w:tcPr>
          <w:p w14:paraId="23008940" w14:textId="77777777" w:rsidR="00EB56D6" w:rsidRPr="00AA67B0" w:rsidRDefault="004D1F5E">
            <w:pPr>
              <w:jc w:val="center"/>
              <w:rPr>
                <w:color w:val="000000" w:themeColor="text1"/>
                <w:sz w:val="22"/>
                <w:szCs w:val="22"/>
              </w:rPr>
            </w:pPr>
            <w:r w:rsidRPr="00AA67B0">
              <w:rPr>
                <w:color w:val="000000" w:themeColor="text1"/>
                <w:sz w:val="22"/>
                <w:szCs w:val="22"/>
              </w:rPr>
              <w:t>0.75</w:t>
            </w:r>
          </w:p>
        </w:tc>
      </w:tr>
      <w:tr w:rsidR="00570005" w:rsidRPr="00AA67B0" w14:paraId="1DEAFA70" w14:textId="77777777">
        <w:tc>
          <w:tcPr>
            <w:tcW w:w="1607" w:type="dxa"/>
          </w:tcPr>
          <w:p w14:paraId="5DFE287E" w14:textId="77777777" w:rsidR="00EB56D6" w:rsidRPr="00AA67B0" w:rsidRDefault="004D1F5E">
            <w:pPr>
              <w:rPr>
                <w:b/>
                <w:color w:val="000000" w:themeColor="text1"/>
                <w:sz w:val="22"/>
                <w:szCs w:val="22"/>
              </w:rPr>
            </w:pPr>
            <w:r w:rsidRPr="00AA67B0">
              <w:rPr>
                <w:b/>
                <w:color w:val="000000" w:themeColor="text1"/>
                <w:sz w:val="22"/>
                <w:szCs w:val="22"/>
              </w:rPr>
              <w:t>DP</w:t>
            </w:r>
          </w:p>
        </w:tc>
        <w:tc>
          <w:tcPr>
            <w:tcW w:w="1607" w:type="dxa"/>
          </w:tcPr>
          <w:p w14:paraId="7A645165" w14:textId="77777777" w:rsidR="00EB56D6" w:rsidRPr="00AA67B0" w:rsidRDefault="004D1F5E">
            <w:pPr>
              <w:jc w:val="center"/>
              <w:rPr>
                <w:color w:val="000000" w:themeColor="text1"/>
                <w:sz w:val="22"/>
                <w:szCs w:val="22"/>
              </w:rPr>
            </w:pPr>
            <w:r w:rsidRPr="00AA67B0">
              <w:rPr>
                <w:color w:val="000000" w:themeColor="text1"/>
                <w:sz w:val="22"/>
                <w:szCs w:val="22"/>
              </w:rPr>
              <w:t>5.95</w:t>
            </w:r>
          </w:p>
        </w:tc>
        <w:tc>
          <w:tcPr>
            <w:tcW w:w="1606" w:type="dxa"/>
          </w:tcPr>
          <w:p w14:paraId="759397E8" w14:textId="77777777" w:rsidR="00EB56D6" w:rsidRPr="00AA67B0" w:rsidRDefault="004D1F5E">
            <w:pPr>
              <w:jc w:val="center"/>
              <w:rPr>
                <w:color w:val="000000" w:themeColor="text1"/>
                <w:sz w:val="22"/>
                <w:szCs w:val="22"/>
              </w:rPr>
            </w:pPr>
            <w:r w:rsidRPr="00AA67B0">
              <w:rPr>
                <w:color w:val="000000" w:themeColor="text1"/>
                <w:sz w:val="22"/>
                <w:szCs w:val="22"/>
              </w:rPr>
              <w:t>4.63</w:t>
            </w:r>
          </w:p>
        </w:tc>
        <w:tc>
          <w:tcPr>
            <w:tcW w:w="1606" w:type="dxa"/>
          </w:tcPr>
          <w:p w14:paraId="3A37A82D" w14:textId="77777777" w:rsidR="00EB56D6" w:rsidRPr="00AA67B0" w:rsidRDefault="004D1F5E">
            <w:pPr>
              <w:jc w:val="center"/>
              <w:rPr>
                <w:color w:val="000000" w:themeColor="text1"/>
                <w:sz w:val="22"/>
                <w:szCs w:val="22"/>
              </w:rPr>
            </w:pPr>
            <w:r w:rsidRPr="00AA67B0">
              <w:rPr>
                <w:color w:val="000000" w:themeColor="text1"/>
                <w:sz w:val="22"/>
                <w:szCs w:val="22"/>
              </w:rPr>
              <w:t>0.93</w:t>
            </w:r>
          </w:p>
        </w:tc>
        <w:tc>
          <w:tcPr>
            <w:tcW w:w="1606" w:type="dxa"/>
          </w:tcPr>
          <w:p w14:paraId="043B9ACC" w14:textId="77777777" w:rsidR="00EB56D6" w:rsidRPr="00AA67B0" w:rsidRDefault="004D1F5E">
            <w:pPr>
              <w:jc w:val="center"/>
              <w:rPr>
                <w:color w:val="000000" w:themeColor="text1"/>
                <w:sz w:val="22"/>
                <w:szCs w:val="22"/>
              </w:rPr>
            </w:pPr>
            <w:r w:rsidRPr="00AA67B0">
              <w:rPr>
                <w:color w:val="000000" w:themeColor="text1"/>
                <w:sz w:val="22"/>
                <w:szCs w:val="22"/>
              </w:rPr>
              <w:t>0.34</w:t>
            </w:r>
          </w:p>
        </w:tc>
        <w:tc>
          <w:tcPr>
            <w:tcW w:w="1606" w:type="dxa"/>
          </w:tcPr>
          <w:p w14:paraId="7DAE2C6B" w14:textId="77777777" w:rsidR="00EB56D6" w:rsidRPr="00AA67B0" w:rsidRDefault="004D1F5E">
            <w:pPr>
              <w:jc w:val="center"/>
              <w:rPr>
                <w:color w:val="000000" w:themeColor="text1"/>
                <w:sz w:val="22"/>
                <w:szCs w:val="22"/>
              </w:rPr>
            </w:pPr>
            <w:r w:rsidRPr="00AA67B0">
              <w:rPr>
                <w:color w:val="000000" w:themeColor="text1"/>
                <w:sz w:val="22"/>
                <w:szCs w:val="22"/>
              </w:rPr>
              <w:t>0.70</w:t>
            </w:r>
          </w:p>
        </w:tc>
      </w:tr>
    </w:tbl>
    <w:p w14:paraId="5A964E03" w14:textId="77777777" w:rsidR="00EB56D6" w:rsidRPr="00AA67B0" w:rsidRDefault="00EB56D6">
      <w:pPr>
        <w:spacing w:after="0" w:line="360" w:lineRule="auto"/>
        <w:rPr>
          <w:rFonts w:ascii="Times New Roman" w:eastAsia="Times New Roman" w:hAnsi="Times New Roman" w:cs="Times New Roman"/>
          <w:color w:val="000000" w:themeColor="text1"/>
          <w:sz w:val="24"/>
          <w:szCs w:val="24"/>
        </w:rPr>
      </w:pPr>
    </w:p>
    <w:p w14:paraId="533BB330" w14:textId="184F803D"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The internal reliability analyses, calculating the value of Cronbach’s alpha, presented high values on the scales of emotional exhaustion (EE, α= 0.89) and personal accomplishment (PA, α= 0.75), and lower values on the scale of depersonalisation (DP, α=0.70). This result is to be expected, given that it is systematically the scale that presents a lower level of internal consistency. Gil-Monte </w:t>
      </w:r>
      <w:r w:rsidR="008C40D6" w:rsidRPr="00AA67B0">
        <w:rPr>
          <w:rFonts w:ascii="Times New Roman" w:eastAsia="Times New Roman" w:hAnsi="Times New Roman" w:cs="Times New Roman"/>
          <w:color w:val="000000" w:themeColor="text1"/>
          <w:sz w:val="24"/>
          <w:szCs w:val="24"/>
        </w:rPr>
        <w:t xml:space="preserve">and </w:t>
      </w:r>
      <w:r w:rsidRPr="00AA67B0">
        <w:rPr>
          <w:rFonts w:ascii="Times New Roman" w:eastAsia="Times New Roman" w:hAnsi="Times New Roman" w:cs="Times New Roman"/>
          <w:color w:val="000000" w:themeColor="text1"/>
          <w:sz w:val="24"/>
          <w:szCs w:val="24"/>
        </w:rPr>
        <w:t>Peiró (1999) emphasise that it is one of the psychometric limitations of the MBI, and the reliability values obtained in the studies cited by these authors lie between 0.42 and 0.62. In the validation of the MBI in Spanish, Seisdedos (1997) reported, for his general validation sample (comprised of 1,138 elements of diverse caregiving professions), the following levels: EE, α= 0.82; DP, α=0.79</w:t>
      </w:r>
      <w:r w:rsidR="008F53FB"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and PA, α= 0.71.</w:t>
      </w:r>
    </w:p>
    <w:p w14:paraId="34561A12" w14:textId="3CF767BF"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Taking the reference values published for the Spanish adaptation (Seisdedos, 1997), the scores of the participants in the MBI-HSS were recorded in low, moderate and high levels of EE, DP and PA, respectively.</w:t>
      </w:r>
    </w:p>
    <w:p w14:paraId="6632F203" w14:textId="77777777"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The average score of the social workers is similar to the average score of the normative sample (Seisdedos, 1997) for the dimension of EE (20.13 – study sample vs. 20.36 – normative sample). However, there is a difference regarding the dimensions of DP (5.95 vs. 7.62) and PA (31.30 vs.</w:t>
      </w:r>
      <w:r w:rsidRPr="00AA67B0">
        <w:rPr>
          <w:color w:val="000000" w:themeColor="text1"/>
        </w:rPr>
        <w:t xml:space="preserve"> </w:t>
      </w:r>
      <w:r w:rsidRPr="00AA67B0">
        <w:rPr>
          <w:rFonts w:ascii="Times New Roman" w:eastAsia="Times New Roman" w:hAnsi="Times New Roman" w:cs="Times New Roman"/>
          <w:color w:val="000000" w:themeColor="text1"/>
          <w:sz w:val="24"/>
          <w:szCs w:val="24"/>
        </w:rPr>
        <w:t>35.71), where the sample showed lower scores than the normative sample.</w:t>
      </w:r>
    </w:p>
    <w:p w14:paraId="4B7B5640" w14:textId="77777777"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As can be seen in Table 3, the mean score of social workers is similar to the mean score of the normative sample (Seisdedos, 1997) for EE. Nevertheless, there is a difference with regard to DP and PA, where the sample showed scores lower than the normative sample.</w:t>
      </w:r>
    </w:p>
    <w:p w14:paraId="55A8A413" w14:textId="77777777"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Table 3 presents the frequencies obtained in each of the dimensions of burnout. The high presence of burnout in the sample studied can be seen. Specifically, 33.2% of the sample evidence high levels of EE; 22.1% display a high DP; and 54.2% display low personal accomplishment. Only 6.0% of social workers experienced positive feelings towards the work they were doing.</w:t>
      </w:r>
    </w:p>
    <w:p w14:paraId="41AB4A0A" w14:textId="77777777" w:rsidR="00EB56D6" w:rsidRPr="00AA67B0" w:rsidRDefault="00EB56D6">
      <w:pPr>
        <w:spacing w:after="0" w:line="240" w:lineRule="auto"/>
        <w:ind w:left="39"/>
        <w:rPr>
          <w:rFonts w:ascii="Palatino Linotype" w:eastAsia="Palatino Linotype" w:hAnsi="Palatino Linotype" w:cs="Palatino Linotype"/>
          <w:color w:val="000000" w:themeColor="text1"/>
          <w:sz w:val="16"/>
          <w:szCs w:val="16"/>
        </w:rPr>
      </w:pPr>
    </w:p>
    <w:p w14:paraId="63443301" w14:textId="77777777" w:rsidR="00EB56D6" w:rsidRPr="00AA67B0" w:rsidRDefault="00EB56D6">
      <w:pPr>
        <w:rPr>
          <w:rFonts w:ascii="Times New Roman" w:eastAsia="Times New Roman" w:hAnsi="Times New Roman" w:cs="Times New Roman"/>
          <w:b/>
          <w:color w:val="000000" w:themeColor="text1"/>
        </w:rPr>
      </w:pPr>
    </w:p>
    <w:p w14:paraId="4A65913E" w14:textId="77777777" w:rsidR="00570005" w:rsidRPr="00AA67B0" w:rsidRDefault="00570005">
      <w:pPr>
        <w:rPr>
          <w:rFonts w:ascii="Times New Roman" w:eastAsia="Times New Roman" w:hAnsi="Times New Roman" w:cs="Times New Roman"/>
          <w:b/>
          <w:color w:val="000000" w:themeColor="text1"/>
        </w:rPr>
      </w:pPr>
    </w:p>
    <w:p w14:paraId="3581D63C" w14:textId="77777777" w:rsidR="00570005" w:rsidRPr="00AA67B0" w:rsidRDefault="00570005">
      <w:pPr>
        <w:rPr>
          <w:rFonts w:ascii="Times New Roman" w:eastAsia="Times New Roman" w:hAnsi="Times New Roman" w:cs="Times New Roman"/>
          <w:b/>
          <w:color w:val="000000" w:themeColor="text1"/>
        </w:rPr>
      </w:pPr>
    </w:p>
    <w:p w14:paraId="5104860D" w14:textId="77777777" w:rsidR="00570005" w:rsidRPr="00AA67B0" w:rsidRDefault="00570005">
      <w:pPr>
        <w:rPr>
          <w:rFonts w:ascii="Times New Roman" w:eastAsia="Times New Roman" w:hAnsi="Times New Roman" w:cs="Times New Roman"/>
          <w:b/>
          <w:color w:val="000000" w:themeColor="text1"/>
        </w:rPr>
      </w:pPr>
    </w:p>
    <w:p w14:paraId="35977ACA" w14:textId="77777777" w:rsidR="00EB56D6" w:rsidRPr="00AA67B0" w:rsidRDefault="004D1F5E">
      <w:pPr>
        <w:rPr>
          <w:rFonts w:ascii="Times New Roman" w:eastAsia="Times New Roman" w:hAnsi="Times New Roman" w:cs="Times New Roman"/>
          <w:b/>
          <w:color w:val="000000" w:themeColor="text1"/>
        </w:rPr>
      </w:pPr>
      <w:r w:rsidRPr="00AA67B0">
        <w:rPr>
          <w:rFonts w:ascii="Times New Roman" w:eastAsia="Times New Roman" w:hAnsi="Times New Roman" w:cs="Times New Roman"/>
          <w:b/>
          <w:color w:val="000000" w:themeColor="text1"/>
        </w:rPr>
        <w:lastRenderedPageBreak/>
        <w:t>Table 3</w:t>
      </w:r>
    </w:p>
    <w:p w14:paraId="0F4E579A" w14:textId="7A53DE14" w:rsidR="00EB56D6" w:rsidRPr="00AA67B0" w:rsidRDefault="004D1F5E">
      <w:pPr>
        <w:rPr>
          <w:rFonts w:ascii="Times New Roman" w:eastAsia="Times New Roman" w:hAnsi="Times New Roman" w:cs="Times New Roman"/>
          <w:b/>
          <w:color w:val="000000" w:themeColor="text1"/>
        </w:rPr>
      </w:pPr>
      <w:r w:rsidRPr="00AA67B0">
        <w:rPr>
          <w:rFonts w:ascii="Times New Roman" w:eastAsia="Times New Roman" w:hAnsi="Times New Roman" w:cs="Times New Roman"/>
          <w:b/>
          <w:color w:val="000000" w:themeColor="text1"/>
        </w:rPr>
        <w:t>Incidence of low, moderate and high levels of burnout dimensions</w:t>
      </w:r>
    </w:p>
    <w:p w14:paraId="4B83559C" w14:textId="77777777" w:rsidR="00EB56D6" w:rsidRPr="00AA67B0" w:rsidRDefault="00EB56D6">
      <w:pPr>
        <w:rPr>
          <w:rFonts w:ascii="Times New Roman" w:eastAsia="Times New Roman" w:hAnsi="Times New Roman" w:cs="Times New Roman"/>
          <w:b/>
          <w:color w:val="000000" w:themeColor="text1"/>
        </w:rPr>
      </w:pPr>
    </w:p>
    <w:tbl>
      <w:tblPr>
        <w:tblStyle w:val="a1"/>
        <w:tblW w:w="9638"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382"/>
        <w:gridCol w:w="681"/>
        <w:gridCol w:w="694"/>
        <w:gridCol w:w="695"/>
        <w:gridCol w:w="682"/>
        <w:gridCol w:w="681"/>
        <w:gridCol w:w="694"/>
        <w:gridCol w:w="695"/>
        <w:gridCol w:w="682"/>
        <w:gridCol w:w="681"/>
        <w:gridCol w:w="694"/>
        <w:gridCol w:w="695"/>
        <w:gridCol w:w="682"/>
      </w:tblGrid>
      <w:tr w:rsidR="00EB56D6" w:rsidRPr="00AA67B0" w14:paraId="375EBD87" w14:textId="77777777">
        <w:tc>
          <w:tcPr>
            <w:tcW w:w="1382" w:type="dxa"/>
          </w:tcPr>
          <w:p w14:paraId="08781106" w14:textId="77777777" w:rsidR="00EB56D6" w:rsidRPr="00AA67B0" w:rsidRDefault="00EB56D6">
            <w:pPr>
              <w:jc w:val="center"/>
              <w:rPr>
                <w:b/>
                <w:color w:val="000000" w:themeColor="text1"/>
                <w:sz w:val="22"/>
                <w:szCs w:val="22"/>
              </w:rPr>
            </w:pPr>
          </w:p>
        </w:tc>
        <w:tc>
          <w:tcPr>
            <w:tcW w:w="2752" w:type="dxa"/>
            <w:gridSpan w:val="4"/>
            <w:tcBorders>
              <w:bottom w:val="nil"/>
            </w:tcBorders>
          </w:tcPr>
          <w:p w14:paraId="0131D45F" w14:textId="77777777" w:rsidR="00EB56D6" w:rsidRPr="00AA67B0" w:rsidRDefault="004D1F5E">
            <w:pPr>
              <w:jc w:val="center"/>
              <w:rPr>
                <w:b/>
                <w:color w:val="000000" w:themeColor="text1"/>
                <w:sz w:val="22"/>
                <w:szCs w:val="22"/>
              </w:rPr>
            </w:pPr>
            <w:r w:rsidRPr="00AA67B0">
              <w:rPr>
                <w:b/>
                <w:color w:val="000000" w:themeColor="text1"/>
                <w:sz w:val="22"/>
                <w:szCs w:val="22"/>
              </w:rPr>
              <w:t>Low</w:t>
            </w:r>
          </w:p>
        </w:tc>
        <w:tc>
          <w:tcPr>
            <w:tcW w:w="2752" w:type="dxa"/>
            <w:gridSpan w:val="4"/>
            <w:tcBorders>
              <w:bottom w:val="nil"/>
            </w:tcBorders>
          </w:tcPr>
          <w:p w14:paraId="6FACF509" w14:textId="77777777" w:rsidR="00EB56D6" w:rsidRPr="00AA67B0" w:rsidRDefault="004D1F5E">
            <w:pPr>
              <w:jc w:val="center"/>
              <w:rPr>
                <w:b/>
                <w:color w:val="000000" w:themeColor="text1"/>
                <w:sz w:val="22"/>
                <w:szCs w:val="22"/>
              </w:rPr>
            </w:pPr>
            <w:r w:rsidRPr="00AA67B0">
              <w:rPr>
                <w:b/>
                <w:color w:val="000000" w:themeColor="text1"/>
                <w:sz w:val="22"/>
                <w:szCs w:val="22"/>
              </w:rPr>
              <w:t>Moderate</w:t>
            </w:r>
          </w:p>
        </w:tc>
        <w:tc>
          <w:tcPr>
            <w:tcW w:w="2752" w:type="dxa"/>
            <w:gridSpan w:val="4"/>
            <w:tcBorders>
              <w:bottom w:val="nil"/>
            </w:tcBorders>
          </w:tcPr>
          <w:p w14:paraId="594140C5" w14:textId="77777777" w:rsidR="00EB56D6" w:rsidRPr="00AA67B0" w:rsidRDefault="004D1F5E">
            <w:pPr>
              <w:jc w:val="center"/>
              <w:rPr>
                <w:b/>
                <w:color w:val="000000" w:themeColor="text1"/>
                <w:sz w:val="22"/>
                <w:szCs w:val="22"/>
              </w:rPr>
            </w:pPr>
            <w:r w:rsidRPr="00AA67B0">
              <w:rPr>
                <w:b/>
                <w:color w:val="000000" w:themeColor="text1"/>
                <w:sz w:val="22"/>
                <w:szCs w:val="22"/>
              </w:rPr>
              <w:t>High</w:t>
            </w:r>
          </w:p>
        </w:tc>
      </w:tr>
      <w:tr w:rsidR="00EB56D6" w:rsidRPr="00AA67B0" w14:paraId="1570A4D5" w14:textId="77777777">
        <w:tc>
          <w:tcPr>
            <w:tcW w:w="1382" w:type="dxa"/>
            <w:tcBorders>
              <w:bottom w:val="single" w:sz="4" w:space="0" w:color="000000"/>
            </w:tcBorders>
          </w:tcPr>
          <w:p w14:paraId="4899B677" w14:textId="77777777" w:rsidR="00EB56D6" w:rsidRPr="00AA67B0" w:rsidRDefault="004D1F5E">
            <w:pPr>
              <w:rPr>
                <w:b/>
                <w:color w:val="000000" w:themeColor="text1"/>
                <w:sz w:val="22"/>
                <w:szCs w:val="22"/>
              </w:rPr>
            </w:pPr>
            <w:r w:rsidRPr="00AA67B0">
              <w:rPr>
                <w:b/>
                <w:color w:val="000000" w:themeColor="text1"/>
                <w:sz w:val="22"/>
                <w:szCs w:val="22"/>
              </w:rPr>
              <w:t>Variable</w:t>
            </w:r>
          </w:p>
        </w:tc>
        <w:tc>
          <w:tcPr>
            <w:tcW w:w="681" w:type="dxa"/>
            <w:tcBorders>
              <w:top w:val="nil"/>
              <w:bottom w:val="single" w:sz="4" w:space="0" w:color="000000"/>
            </w:tcBorders>
          </w:tcPr>
          <w:p w14:paraId="4BF9C594" w14:textId="77777777" w:rsidR="00EB56D6" w:rsidRPr="00AA67B0" w:rsidRDefault="00EB56D6">
            <w:pPr>
              <w:jc w:val="center"/>
              <w:rPr>
                <w:b/>
                <w:i/>
                <w:color w:val="000000" w:themeColor="text1"/>
                <w:sz w:val="22"/>
                <w:szCs w:val="22"/>
              </w:rPr>
            </w:pPr>
          </w:p>
        </w:tc>
        <w:tc>
          <w:tcPr>
            <w:tcW w:w="694" w:type="dxa"/>
            <w:tcBorders>
              <w:top w:val="single" w:sz="4" w:space="0" w:color="000000"/>
              <w:bottom w:val="single" w:sz="4" w:space="0" w:color="000000"/>
            </w:tcBorders>
          </w:tcPr>
          <w:p w14:paraId="481D8A25" w14:textId="77777777" w:rsidR="00EB56D6" w:rsidRPr="00AA67B0" w:rsidRDefault="004D1F5E">
            <w:pPr>
              <w:jc w:val="center"/>
              <w:rPr>
                <w:b/>
                <w:i/>
                <w:color w:val="000000" w:themeColor="text1"/>
                <w:sz w:val="22"/>
                <w:szCs w:val="22"/>
              </w:rPr>
            </w:pPr>
            <w:r w:rsidRPr="00AA67B0">
              <w:rPr>
                <w:b/>
                <w:i/>
                <w:color w:val="000000" w:themeColor="text1"/>
                <w:sz w:val="22"/>
                <w:szCs w:val="22"/>
              </w:rPr>
              <w:t>n</w:t>
            </w:r>
          </w:p>
        </w:tc>
        <w:tc>
          <w:tcPr>
            <w:tcW w:w="695" w:type="dxa"/>
            <w:tcBorders>
              <w:top w:val="single" w:sz="4" w:space="0" w:color="000000"/>
              <w:bottom w:val="single" w:sz="4" w:space="0" w:color="000000"/>
            </w:tcBorders>
          </w:tcPr>
          <w:p w14:paraId="30497CF1" w14:textId="77777777" w:rsidR="00EB56D6" w:rsidRPr="00AA67B0" w:rsidRDefault="004D1F5E">
            <w:pPr>
              <w:jc w:val="center"/>
              <w:rPr>
                <w:b/>
                <w:i/>
                <w:color w:val="000000" w:themeColor="text1"/>
                <w:sz w:val="22"/>
                <w:szCs w:val="22"/>
              </w:rPr>
            </w:pPr>
            <w:r w:rsidRPr="00AA67B0">
              <w:rPr>
                <w:b/>
                <w:i/>
                <w:color w:val="000000" w:themeColor="text1"/>
                <w:sz w:val="22"/>
                <w:szCs w:val="22"/>
              </w:rPr>
              <w:t>%</w:t>
            </w:r>
          </w:p>
        </w:tc>
        <w:tc>
          <w:tcPr>
            <w:tcW w:w="682" w:type="dxa"/>
            <w:tcBorders>
              <w:top w:val="nil"/>
              <w:bottom w:val="single" w:sz="4" w:space="0" w:color="000000"/>
            </w:tcBorders>
          </w:tcPr>
          <w:p w14:paraId="0E4AF8AE" w14:textId="77777777" w:rsidR="00EB56D6" w:rsidRPr="00AA67B0" w:rsidRDefault="00EB56D6">
            <w:pPr>
              <w:jc w:val="center"/>
              <w:rPr>
                <w:b/>
                <w:i/>
                <w:color w:val="000000" w:themeColor="text1"/>
                <w:sz w:val="22"/>
                <w:szCs w:val="22"/>
              </w:rPr>
            </w:pPr>
          </w:p>
        </w:tc>
        <w:tc>
          <w:tcPr>
            <w:tcW w:w="681" w:type="dxa"/>
            <w:tcBorders>
              <w:top w:val="nil"/>
              <w:bottom w:val="single" w:sz="4" w:space="0" w:color="000000"/>
            </w:tcBorders>
          </w:tcPr>
          <w:p w14:paraId="6D32D77E" w14:textId="77777777" w:rsidR="00EB56D6" w:rsidRPr="00AA67B0" w:rsidRDefault="00EB56D6">
            <w:pPr>
              <w:jc w:val="center"/>
              <w:rPr>
                <w:b/>
                <w:i/>
                <w:color w:val="000000" w:themeColor="text1"/>
                <w:sz w:val="22"/>
                <w:szCs w:val="22"/>
              </w:rPr>
            </w:pPr>
          </w:p>
        </w:tc>
        <w:tc>
          <w:tcPr>
            <w:tcW w:w="694" w:type="dxa"/>
            <w:tcBorders>
              <w:top w:val="single" w:sz="4" w:space="0" w:color="000000"/>
              <w:bottom w:val="single" w:sz="4" w:space="0" w:color="000000"/>
            </w:tcBorders>
          </w:tcPr>
          <w:p w14:paraId="5281E406" w14:textId="77777777" w:rsidR="00EB56D6" w:rsidRPr="00AA67B0" w:rsidRDefault="004D1F5E">
            <w:pPr>
              <w:jc w:val="center"/>
              <w:rPr>
                <w:b/>
                <w:i/>
                <w:color w:val="000000" w:themeColor="text1"/>
                <w:sz w:val="22"/>
                <w:szCs w:val="22"/>
              </w:rPr>
            </w:pPr>
            <w:r w:rsidRPr="00AA67B0">
              <w:rPr>
                <w:b/>
                <w:i/>
                <w:color w:val="000000" w:themeColor="text1"/>
                <w:sz w:val="22"/>
                <w:szCs w:val="22"/>
              </w:rPr>
              <w:t>n</w:t>
            </w:r>
          </w:p>
        </w:tc>
        <w:tc>
          <w:tcPr>
            <w:tcW w:w="695" w:type="dxa"/>
            <w:tcBorders>
              <w:top w:val="single" w:sz="4" w:space="0" w:color="000000"/>
              <w:bottom w:val="single" w:sz="4" w:space="0" w:color="000000"/>
            </w:tcBorders>
          </w:tcPr>
          <w:p w14:paraId="5C159FB5" w14:textId="77777777" w:rsidR="00EB56D6" w:rsidRPr="00AA67B0" w:rsidRDefault="004D1F5E">
            <w:pPr>
              <w:jc w:val="center"/>
              <w:rPr>
                <w:b/>
                <w:i/>
                <w:color w:val="000000" w:themeColor="text1"/>
                <w:sz w:val="22"/>
                <w:szCs w:val="22"/>
              </w:rPr>
            </w:pPr>
            <w:r w:rsidRPr="00AA67B0">
              <w:rPr>
                <w:b/>
                <w:i/>
                <w:color w:val="000000" w:themeColor="text1"/>
                <w:sz w:val="22"/>
                <w:szCs w:val="22"/>
              </w:rPr>
              <w:t>%</w:t>
            </w:r>
          </w:p>
        </w:tc>
        <w:tc>
          <w:tcPr>
            <w:tcW w:w="682" w:type="dxa"/>
            <w:tcBorders>
              <w:top w:val="nil"/>
              <w:bottom w:val="single" w:sz="4" w:space="0" w:color="000000"/>
            </w:tcBorders>
          </w:tcPr>
          <w:p w14:paraId="449CC150" w14:textId="77777777" w:rsidR="00EB56D6" w:rsidRPr="00AA67B0" w:rsidRDefault="00EB56D6">
            <w:pPr>
              <w:jc w:val="center"/>
              <w:rPr>
                <w:b/>
                <w:i/>
                <w:color w:val="000000" w:themeColor="text1"/>
                <w:sz w:val="22"/>
                <w:szCs w:val="22"/>
              </w:rPr>
            </w:pPr>
          </w:p>
        </w:tc>
        <w:tc>
          <w:tcPr>
            <w:tcW w:w="681" w:type="dxa"/>
            <w:tcBorders>
              <w:top w:val="nil"/>
              <w:bottom w:val="single" w:sz="4" w:space="0" w:color="000000"/>
            </w:tcBorders>
          </w:tcPr>
          <w:p w14:paraId="4CB0FCBE" w14:textId="77777777" w:rsidR="00EB56D6" w:rsidRPr="00AA67B0" w:rsidRDefault="00EB56D6">
            <w:pPr>
              <w:jc w:val="center"/>
              <w:rPr>
                <w:b/>
                <w:i/>
                <w:color w:val="000000" w:themeColor="text1"/>
                <w:sz w:val="22"/>
                <w:szCs w:val="22"/>
              </w:rPr>
            </w:pPr>
          </w:p>
        </w:tc>
        <w:tc>
          <w:tcPr>
            <w:tcW w:w="694" w:type="dxa"/>
            <w:tcBorders>
              <w:top w:val="single" w:sz="4" w:space="0" w:color="000000"/>
              <w:bottom w:val="single" w:sz="4" w:space="0" w:color="000000"/>
            </w:tcBorders>
          </w:tcPr>
          <w:p w14:paraId="3CDCE754" w14:textId="77777777" w:rsidR="00EB56D6" w:rsidRPr="00AA67B0" w:rsidRDefault="004D1F5E">
            <w:pPr>
              <w:jc w:val="center"/>
              <w:rPr>
                <w:b/>
                <w:i/>
                <w:color w:val="000000" w:themeColor="text1"/>
                <w:sz w:val="22"/>
                <w:szCs w:val="22"/>
              </w:rPr>
            </w:pPr>
            <w:r w:rsidRPr="00AA67B0">
              <w:rPr>
                <w:b/>
                <w:i/>
                <w:color w:val="000000" w:themeColor="text1"/>
                <w:sz w:val="22"/>
                <w:szCs w:val="22"/>
              </w:rPr>
              <w:t>n</w:t>
            </w:r>
          </w:p>
        </w:tc>
        <w:tc>
          <w:tcPr>
            <w:tcW w:w="695" w:type="dxa"/>
            <w:tcBorders>
              <w:top w:val="single" w:sz="4" w:space="0" w:color="000000"/>
              <w:bottom w:val="single" w:sz="4" w:space="0" w:color="000000"/>
            </w:tcBorders>
          </w:tcPr>
          <w:p w14:paraId="01A36759" w14:textId="77777777" w:rsidR="00EB56D6" w:rsidRPr="00AA67B0" w:rsidRDefault="004D1F5E">
            <w:pPr>
              <w:jc w:val="center"/>
              <w:rPr>
                <w:b/>
                <w:i/>
                <w:color w:val="000000" w:themeColor="text1"/>
                <w:sz w:val="22"/>
                <w:szCs w:val="22"/>
              </w:rPr>
            </w:pPr>
            <w:r w:rsidRPr="00AA67B0">
              <w:rPr>
                <w:b/>
                <w:i/>
                <w:color w:val="000000" w:themeColor="text1"/>
                <w:sz w:val="22"/>
                <w:szCs w:val="22"/>
              </w:rPr>
              <w:t>%</w:t>
            </w:r>
          </w:p>
        </w:tc>
        <w:tc>
          <w:tcPr>
            <w:tcW w:w="682" w:type="dxa"/>
            <w:tcBorders>
              <w:top w:val="nil"/>
              <w:bottom w:val="single" w:sz="4" w:space="0" w:color="000000"/>
            </w:tcBorders>
          </w:tcPr>
          <w:p w14:paraId="74C06F09" w14:textId="77777777" w:rsidR="00EB56D6" w:rsidRPr="00AA67B0" w:rsidRDefault="00EB56D6">
            <w:pPr>
              <w:jc w:val="center"/>
              <w:rPr>
                <w:b/>
                <w:i/>
                <w:color w:val="000000" w:themeColor="text1"/>
                <w:sz w:val="22"/>
                <w:szCs w:val="22"/>
              </w:rPr>
            </w:pPr>
          </w:p>
        </w:tc>
      </w:tr>
      <w:tr w:rsidR="00EB56D6" w:rsidRPr="00AA67B0" w14:paraId="0B050C19" w14:textId="77777777">
        <w:tc>
          <w:tcPr>
            <w:tcW w:w="1382" w:type="dxa"/>
            <w:tcBorders>
              <w:top w:val="single" w:sz="4" w:space="0" w:color="000000"/>
              <w:bottom w:val="nil"/>
            </w:tcBorders>
          </w:tcPr>
          <w:p w14:paraId="1D704870" w14:textId="77777777" w:rsidR="00EB56D6" w:rsidRPr="00AA67B0" w:rsidRDefault="004D1F5E">
            <w:pPr>
              <w:rPr>
                <w:b/>
                <w:color w:val="000000" w:themeColor="text1"/>
                <w:sz w:val="22"/>
                <w:szCs w:val="22"/>
              </w:rPr>
            </w:pPr>
            <w:r w:rsidRPr="00AA67B0">
              <w:rPr>
                <w:b/>
                <w:color w:val="000000" w:themeColor="text1"/>
                <w:sz w:val="22"/>
                <w:szCs w:val="22"/>
              </w:rPr>
              <w:t>EE</w:t>
            </w:r>
          </w:p>
        </w:tc>
        <w:tc>
          <w:tcPr>
            <w:tcW w:w="681" w:type="dxa"/>
            <w:tcBorders>
              <w:top w:val="single" w:sz="4" w:space="0" w:color="000000"/>
            </w:tcBorders>
          </w:tcPr>
          <w:p w14:paraId="7797A7FB" w14:textId="77777777" w:rsidR="00EB56D6" w:rsidRPr="00AA67B0" w:rsidRDefault="00EB56D6">
            <w:pPr>
              <w:jc w:val="center"/>
              <w:rPr>
                <w:color w:val="000000" w:themeColor="text1"/>
                <w:sz w:val="22"/>
                <w:szCs w:val="22"/>
              </w:rPr>
            </w:pPr>
          </w:p>
        </w:tc>
        <w:tc>
          <w:tcPr>
            <w:tcW w:w="694" w:type="dxa"/>
            <w:tcBorders>
              <w:top w:val="single" w:sz="4" w:space="0" w:color="000000"/>
            </w:tcBorders>
          </w:tcPr>
          <w:p w14:paraId="10144A56" w14:textId="77777777" w:rsidR="00EB56D6" w:rsidRPr="00AA67B0" w:rsidRDefault="004D1F5E">
            <w:pPr>
              <w:jc w:val="center"/>
              <w:rPr>
                <w:color w:val="000000" w:themeColor="text1"/>
                <w:sz w:val="22"/>
                <w:szCs w:val="22"/>
              </w:rPr>
            </w:pPr>
            <w:r w:rsidRPr="00AA67B0">
              <w:rPr>
                <w:color w:val="000000" w:themeColor="text1"/>
                <w:sz w:val="22"/>
                <w:szCs w:val="22"/>
              </w:rPr>
              <w:t>325</w:t>
            </w:r>
          </w:p>
        </w:tc>
        <w:tc>
          <w:tcPr>
            <w:tcW w:w="695" w:type="dxa"/>
            <w:tcBorders>
              <w:top w:val="single" w:sz="4" w:space="0" w:color="000000"/>
            </w:tcBorders>
          </w:tcPr>
          <w:p w14:paraId="75748C59" w14:textId="77777777" w:rsidR="00EB56D6" w:rsidRPr="00AA67B0" w:rsidRDefault="004D1F5E">
            <w:pPr>
              <w:jc w:val="center"/>
              <w:rPr>
                <w:color w:val="000000" w:themeColor="text1"/>
                <w:sz w:val="22"/>
                <w:szCs w:val="22"/>
              </w:rPr>
            </w:pPr>
            <w:r w:rsidRPr="00AA67B0">
              <w:rPr>
                <w:color w:val="000000" w:themeColor="text1"/>
                <w:sz w:val="22"/>
                <w:szCs w:val="22"/>
              </w:rPr>
              <w:t>34.3</w:t>
            </w:r>
          </w:p>
        </w:tc>
        <w:tc>
          <w:tcPr>
            <w:tcW w:w="682" w:type="dxa"/>
            <w:tcBorders>
              <w:top w:val="single" w:sz="4" w:space="0" w:color="000000"/>
            </w:tcBorders>
          </w:tcPr>
          <w:p w14:paraId="13391AA3" w14:textId="77777777" w:rsidR="00EB56D6" w:rsidRPr="00AA67B0" w:rsidRDefault="00EB56D6">
            <w:pPr>
              <w:jc w:val="center"/>
              <w:rPr>
                <w:color w:val="000000" w:themeColor="text1"/>
                <w:sz w:val="22"/>
                <w:szCs w:val="22"/>
              </w:rPr>
            </w:pPr>
          </w:p>
        </w:tc>
        <w:tc>
          <w:tcPr>
            <w:tcW w:w="681" w:type="dxa"/>
            <w:tcBorders>
              <w:top w:val="single" w:sz="4" w:space="0" w:color="000000"/>
            </w:tcBorders>
          </w:tcPr>
          <w:p w14:paraId="10BF8CB3" w14:textId="77777777" w:rsidR="00EB56D6" w:rsidRPr="00AA67B0" w:rsidRDefault="00EB56D6">
            <w:pPr>
              <w:jc w:val="center"/>
              <w:rPr>
                <w:color w:val="000000" w:themeColor="text1"/>
                <w:sz w:val="22"/>
                <w:szCs w:val="22"/>
              </w:rPr>
            </w:pPr>
          </w:p>
        </w:tc>
        <w:tc>
          <w:tcPr>
            <w:tcW w:w="694" w:type="dxa"/>
            <w:tcBorders>
              <w:top w:val="single" w:sz="4" w:space="0" w:color="000000"/>
            </w:tcBorders>
          </w:tcPr>
          <w:p w14:paraId="1F856C52" w14:textId="77777777" w:rsidR="00EB56D6" w:rsidRPr="00AA67B0" w:rsidRDefault="004D1F5E">
            <w:pPr>
              <w:jc w:val="center"/>
              <w:rPr>
                <w:color w:val="000000" w:themeColor="text1"/>
                <w:sz w:val="22"/>
                <w:szCs w:val="22"/>
              </w:rPr>
            </w:pPr>
            <w:r w:rsidRPr="00AA67B0">
              <w:rPr>
                <w:color w:val="000000" w:themeColor="text1"/>
                <w:sz w:val="22"/>
                <w:szCs w:val="22"/>
              </w:rPr>
              <w:t>308</w:t>
            </w:r>
          </w:p>
        </w:tc>
        <w:tc>
          <w:tcPr>
            <w:tcW w:w="695" w:type="dxa"/>
            <w:tcBorders>
              <w:top w:val="single" w:sz="4" w:space="0" w:color="000000"/>
            </w:tcBorders>
          </w:tcPr>
          <w:p w14:paraId="5C994F98" w14:textId="77777777" w:rsidR="00EB56D6" w:rsidRPr="00AA67B0" w:rsidRDefault="004D1F5E">
            <w:pPr>
              <w:jc w:val="center"/>
              <w:rPr>
                <w:color w:val="000000" w:themeColor="text1"/>
                <w:sz w:val="22"/>
                <w:szCs w:val="22"/>
              </w:rPr>
            </w:pPr>
            <w:r w:rsidRPr="00AA67B0">
              <w:rPr>
                <w:color w:val="000000" w:themeColor="text1"/>
                <w:sz w:val="22"/>
                <w:szCs w:val="22"/>
              </w:rPr>
              <w:t>32.5</w:t>
            </w:r>
          </w:p>
        </w:tc>
        <w:tc>
          <w:tcPr>
            <w:tcW w:w="682" w:type="dxa"/>
            <w:tcBorders>
              <w:top w:val="single" w:sz="4" w:space="0" w:color="000000"/>
            </w:tcBorders>
          </w:tcPr>
          <w:p w14:paraId="008F50D7" w14:textId="77777777" w:rsidR="00EB56D6" w:rsidRPr="00AA67B0" w:rsidRDefault="00EB56D6">
            <w:pPr>
              <w:jc w:val="center"/>
              <w:rPr>
                <w:color w:val="000000" w:themeColor="text1"/>
                <w:sz w:val="22"/>
                <w:szCs w:val="22"/>
              </w:rPr>
            </w:pPr>
          </w:p>
        </w:tc>
        <w:tc>
          <w:tcPr>
            <w:tcW w:w="681" w:type="dxa"/>
            <w:tcBorders>
              <w:top w:val="single" w:sz="4" w:space="0" w:color="000000"/>
            </w:tcBorders>
          </w:tcPr>
          <w:p w14:paraId="151CFAAF" w14:textId="77777777" w:rsidR="00EB56D6" w:rsidRPr="00AA67B0" w:rsidRDefault="00EB56D6">
            <w:pPr>
              <w:jc w:val="center"/>
              <w:rPr>
                <w:color w:val="000000" w:themeColor="text1"/>
                <w:sz w:val="22"/>
                <w:szCs w:val="22"/>
              </w:rPr>
            </w:pPr>
          </w:p>
        </w:tc>
        <w:tc>
          <w:tcPr>
            <w:tcW w:w="694" w:type="dxa"/>
            <w:tcBorders>
              <w:top w:val="single" w:sz="4" w:space="0" w:color="000000"/>
            </w:tcBorders>
          </w:tcPr>
          <w:p w14:paraId="13C9D65B" w14:textId="77777777" w:rsidR="00EB56D6" w:rsidRPr="00AA67B0" w:rsidRDefault="004D1F5E">
            <w:pPr>
              <w:jc w:val="center"/>
              <w:rPr>
                <w:color w:val="000000" w:themeColor="text1"/>
                <w:sz w:val="22"/>
                <w:szCs w:val="22"/>
              </w:rPr>
            </w:pPr>
            <w:r w:rsidRPr="00AA67B0">
              <w:rPr>
                <w:color w:val="000000" w:themeColor="text1"/>
                <w:sz w:val="22"/>
                <w:szCs w:val="22"/>
              </w:rPr>
              <w:t>314</w:t>
            </w:r>
          </w:p>
        </w:tc>
        <w:tc>
          <w:tcPr>
            <w:tcW w:w="695" w:type="dxa"/>
            <w:tcBorders>
              <w:top w:val="single" w:sz="4" w:space="0" w:color="000000"/>
            </w:tcBorders>
          </w:tcPr>
          <w:p w14:paraId="41312AAD" w14:textId="77777777" w:rsidR="00EB56D6" w:rsidRPr="00AA67B0" w:rsidRDefault="004D1F5E">
            <w:pPr>
              <w:jc w:val="center"/>
              <w:rPr>
                <w:color w:val="000000" w:themeColor="text1"/>
                <w:sz w:val="22"/>
                <w:szCs w:val="22"/>
              </w:rPr>
            </w:pPr>
            <w:r w:rsidRPr="00AA67B0">
              <w:rPr>
                <w:color w:val="000000" w:themeColor="text1"/>
                <w:sz w:val="22"/>
                <w:szCs w:val="22"/>
              </w:rPr>
              <w:t>33.2</w:t>
            </w:r>
          </w:p>
        </w:tc>
        <w:tc>
          <w:tcPr>
            <w:tcW w:w="682" w:type="dxa"/>
            <w:tcBorders>
              <w:top w:val="single" w:sz="4" w:space="0" w:color="000000"/>
            </w:tcBorders>
          </w:tcPr>
          <w:p w14:paraId="163F073A" w14:textId="77777777" w:rsidR="00EB56D6" w:rsidRPr="00AA67B0" w:rsidRDefault="00EB56D6">
            <w:pPr>
              <w:jc w:val="center"/>
              <w:rPr>
                <w:color w:val="000000" w:themeColor="text1"/>
                <w:sz w:val="22"/>
                <w:szCs w:val="22"/>
              </w:rPr>
            </w:pPr>
          </w:p>
        </w:tc>
      </w:tr>
      <w:tr w:rsidR="00EB56D6" w:rsidRPr="00AA67B0" w14:paraId="4CD2CA34" w14:textId="77777777">
        <w:tc>
          <w:tcPr>
            <w:tcW w:w="1382" w:type="dxa"/>
            <w:tcBorders>
              <w:top w:val="nil"/>
            </w:tcBorders>
          </w:tcPr>
          <w:p w14:paraId="5BADCE42" w14:textId="77777777" w:rsidR="00EB56D6" w:rsidRPr="00AA67B0" w:rsidRDefault="004D1F5E">
            <w:pPr>
              <w:rPr>
                <w:b/>
                <w:color w:val="000000" w:themeColor="text1"/>
                <w:sz w:val="22"/>
                <w:szCs w:val="22"/>
              </w:rPr>
            </w:pPr>
            <w:r w:rsidRPr="00AA67B0">
              <w:rPr>
                <w:b/>
                <w:color w:val="000000" w:themeColor="text1"/>
                <w:sz w:val="22"/>
                <w:szCs w:val="22"/>
              </w:rPr>
              <w:t>DP</w:t>
            </w:r>
          </w:p>
        </w:tc>
        <w:tc>
          <w:tcPr>
            <w:tcW w:w="681" w:type="dxa"/>
          </w:tcPr>
          <w:p w14:paraId="35CE9624" w14:textId="77777777" w:rsidR="00EB56D6" w:rsidRPr="00AA67B0" w:rsidRDefault="00EB56D6">
            <w:pPr>
              <w:jc w:val="center"/>
              <w:rPr>
                <w:color w:val="000000" w:themeColor="text1"/>
                <w:sz w:val="22"/>
                <w:szCs w:val="22"/>
              </w:rPr>
            </w:pPr>
          </w:p>
        </w:tc>
        <w:tc>
          <w:tcPr>
            <w:tcW w:w="694" w:type="dxa"/>
          </w:tcPr>
          <w:p w14:paraId="5162A696" w14:textId="77777777" w:rsidR="00EB56D6" w:rsidRPr="00AA67B0" w:rsidRDefault="004D1F5E">
            <w:pPr>
              <w:jc w:val="center"/>
              <w:rPr>
                <w:color w:val="000000" w:themeColor="text1"/>
                <w:sz w:val="22"/>
                <w:szCs w:val="22"/>
              </w:rPr>
            </w:pPr>
            <w:r w:rsidRPr="00AA67B0">
              <w:rPr>
                <w:color w:val="000000" w:themeColor="text1"/>
                <w:sz w:val="22"/>
                <w:szCs w:val="22"/>
              </w:rPr>
              <w:t>356</w:t>
            </w:r>
          </w:p>
        </w:tc>
        <w:tc>
          <w:tcPr>
            <w:tcW w:w="695" w:type="dxa"/>
          </w:tcPr>
          <w:p w14:paraId="509DBB95" w14:textId="77777777" w:rsidR="00EB56D6" w:rsidRPr="00AA67B0" w:rsidRDefault="004D1F5E">
            <w:pPr>
              <w:jc w:val="center"/>
              <w:rPr>
                <w:color w:val="000000" w:themeColor="text1"/>
                <w:sz w:val="22"/>
                <w:szCs w:val="22"/>
              </w:rPr>
            </w:pPr>
            <w:r w:rsidRPr="00AA67B0">
              <w:rPr>
                <w:color w:val="000000" w:themeColor="text1"/>
                <w:sz w:val="22"/>
                <w:szCs w:val="22"/>
              </w:rPr>
              <w:t>37.6</w:t>
            </w:r>
          </w:p>
        </w:tc>
        <w:tc>
          <w:tcPr>
            <w:tcW w:w="682" w:type="dxa"/>
          </w:tcPr>
          <w:p w14:paraId="4E321CF8" w14:textId="77777777" w:rsidR="00EB56D6" w:rsidRPr="00AA67B0" w:rsidRDefault="00EB56D6">
            <w:pPr>
              <w:jc w:val="center"/>
              <w:rPr>
                <w:color w:val="000000" w:themeColor="text1"/>
                <w:sz w:val="22"/>
                <w:szCs w:val="22"/>
              </w:rPr>
            </w:pPr>
          </w:p>
        </w:tc>
        <w:tc>
          <w:tcPr>
            <w:tcW w:w="681" w:type="dxa"/>
          </w:tcPr>
          <w:p w14:paraId="738E27C3" w14:textId="77777777" w:rsidR="00EB56D6" w:rsidRPr="00AA67B0" w:rsidRDefault="00EB56D6">
            <w:pPr>
              <w:jc w:val="center"/>
              <w:rPr>
                <w:color w:val="000000" w:themeColor="text1"/>
                <w:sz w:val="22"/>
                <w:szCs w:val="22"/>
              </w:rPr>
            </w:pPr>
          </w:p>
        </w:tc>
        <w:tc>
          <w:tcPr>
            <w:tcW w:w="694" w:type="dxa"/>
          </w:tcPr>
          <w:p w14:paraId="2F986398" w14:textId="77777777" w:rsidR="00EB56D6" w:rsidRPr="00AA67B0" w:rsidRDefault="004D1F5E">
            <w:pPr>
              <w:jc w:val="center"/>
              <w:rPr>
                <w:color w:val="000000" w:themeColor="text1"/>
                <w:sz w:val="22"/>
                <w:szCs w:val="22"/>
              </w:rPr>
            </w:pPr>
            <w:r w:rsidRPr="00AA67B0">
              <w:rPr>
                <w:color w:val="000000" w:themeColor="text1"/>
                <w:sz w:val="22"/>
                <w:szCs w:val="22"/>
              </w:rPr>
              <w:t>382</w:t>
            </w:r>
          </w:p>
        </w:tc>
        <w:tc>
          <w:tcPr>
            <w:tcW w:w="695" w:type="dxa"/>
          </w:tcPr>
          <w:p w14:paraId="04318C86" w14:textId="77777777" w:rsidR="00EB56D6" w:rsidRPr="00AA67B0" w:rsidRDefault="004D1F5E">
            <w:pPr>
              <w:jc w:val="center"/>
              <w:rPr>
                <w:color w:val="000000" w:themeColor="text1"/>
                <w:sz w:val="22"/>
                <w:szCs w:val="22"/>
              </w:rPr>
            </w:pPr>
            <w:r w:rsidRPr="00AA67B0">
              <w:rPr>
                <w:color w:val="000000" w:themeColor="text1"/>
                <w:sz w:val="22"/>
                <w:szCs w:val="22"/>
              </w:rPr>
              <w:t>40.3</w:t>
            </w:r>
          </w:p>
        </w:tc>
        <w:tc>
          <w:tcPr>
            <w:tcW w:w="682" w:type="dxa"/>
          </w:tcPr>
          <w:p w14:paraId="7BE89D09" w14:textId="77777777" w:rsidR="00EB56D6" w:rsidRPr="00AA67B0" w:rsidRDefault="00EB56D6">
            <w:pPr>
              <w:jc w:val="center"/>
              <w:rPr>
                <w:color w:val="000000" w:themeColor="text1"/>
                <w:sz w:val="22"/>
                <w:szCs w:val="22"/>
              </w:rPr>
            </w:pPr>
          </w:p>
        </w:tc>
        <w:tc>
          <w:tcPr>
            <w:tcW w:w="681" w:type="dxa"/>
          </w:tcPr>
          <w:p w14:paraId="25DD507E" w14:textId="77777777" w:rsidR="00EB56D6" w:rsidRPr="00AA67B0" w:rsidRDefault="00EB56D6">
            <w:pPr>
              <w:jc w:val="center"/>
              <w:rPr>
                <w:color w:val="000000" w:themeColor="text1"/>
                <w:sz w:val="22"/>
                <w:szCs w:val="22"/>
              </w:rPr>
            </w:pPr>
          </w:p>
        </w:tc>
        <w:tc>
          <w:tcPr>
            <w:tcW w:w="694" w:type="dxa"/>
          </w:tcPr>
          <w:p w14:paraId="3665ACBE" w14:textId="77777777" w:rsidR="00EB56D6" w:rsidRPr="00AA67B0" w:rsidRDefault="004D1F5E">
            <w:pPr>
              <w:jc w:val="center"/>
              <w:rPr>
                <w:color w:val="000000" w:themeColor="text1"/>
                <w:sz w:val="22"/>
                <w:szCs w:val="22"/>
              </w:rPr>
            </w:pPr>
            <w:r w:rsidRPr="00AA67B0">
              <w:rPr>
                <w:color w:val="000000" w:themeColor="text1"/>
                <w:sz w:val="22"/>
                <w:szCs w:val="22"/>
              </w:rPr>
              <w:t>209</w:t>
            </w:r>
          </w:p>
        </w:tc>
        <w:tc>
          <w:tcPr>
            <w:tcW w:w="695" w:type="dxa"/>
          </w:tcPr>
          <w:p w14:paraId="75A0CCFC" w14:textId="77777777" w:rsidR="00EB56D6" w:rsidRPr="00AA67B0" w:rsidRDefault="004D1F5E">
            <w:pPr>
              <w:jc w:val="center"/>
              <w:rPr>
                <w:color w:val="000000" w:themeColor="text1"/>
                <w:sz w:val="22"/>
                <w:szCs w:val="22"/>
              </w:rPr>
            </w:pPr>
            <w:r w:rsidRPr="00AA67B0">
              <w:rPr>
                <w:color w:val="000000" w:themeColor="text1"/>
                <w:sz w:val="22"/>
                <w:szCs w:val="22"/>
              </w:rPr>
              <w:t>22.1</w:t>
            </w:r>
          </w:p>
        </w:tc>
        <w:tc>
          <w:tcPr>
            <w:tcW w:w="682" w:type="dxa"/>
          </w:tcPr>
          <w:p w14:paraId="34E4E931" w14:textId="77777777" w:rsidR="00EB56D6" w:rsidRPr="00AA67B0" w:rsidRDefault="00EB56D6">
            <w:pPr>
              <w:jc w:val="center"/>
              <w:rPr>
                <w:color w:val="000000" w:themeColor="text1"/>
                <w:sz w:val="22"/>
                <w:szCs w:val="22"/>
              </w:rPr>
            </w:pPr>
          </w:p>
        </w:tc>
      </w:tr>
      <w:tr w:rsidR="00EB56D6" w:rsidRPr="00AA67B0" w14:paraId="1D4431E9" w14:textId="77777777">
        <w:tc>
          <w:tcPr>
            <w:tcW w:w="1382" w:type="dxa"/>
          </w:tcPr>
          <w:p w14:paraId="4DA3F8B8" w14:textId="77777777" w:rsidR="00EB56D6" w:rsidRPr="00AA67B0" w:rsidRDefault="004D1F5E">
            <w:pPr>
              <w:rPr>
                <w:b/>
                <w:color w:val="000000" w:themeColor="text1"/>
                <w:sz w:val="22"/>
                <w:szCs w:val="22"/>
              </w:rPr>
            </w:pPr>
            <w:r w:rsidRPr="00AA67B0">
              <w:rPr>
                <w:b/>
                <w:color w:val="000000" w:themeColor="text1"/>
                <w:sz w:val="22"/>
                <w:szCs w:val="22"/>
              </w:rPr>
              <w:t>PA</w:t>
            </w:r>
          </w:p>
        </w:tc>
        <w:tc>
          <w:tcPr>
            <w:tcW w:w="681" w:type="dxa"/>
          </w:tcPr>
          <w:p w14:paraId="26897DCB" w14:textId="77777777" w:rsidR="00EB56D6" w:rsidRPr="00AA67B0" w:rsidRDefault="00EB56D6">
            <w:pPr>
              <w:jc w:val="center"/>
              <w:rPr>
                <w:color w:val="000000" w:themeColor="text1"/>
                <w:sz w:val="22"/>
                <w:szCs w:val="22"/>
              </w:rPr>
            </w:pPr>
          </w:p>
        </w:tc>
        <w:tc>
          <w:tcPr>
            <w:tcW w:w="694" w:type="dxa"/>
          </w:tcPr>
          <w:p w14:paraId="03AB8B26" w14:textId="77777777" w:rsidR="00EB56D6" w:rsidRPr="00AA67B0" w:rsidRDefault="004D1F5E">
            <w:pPr>
              <w:jc w:val="center"/>
              <w:rPr>
                <w:color w:val="000000" w:themeColor="text1"/>
                <w:sz w:val="22"/>
                <w:szCs w:val="22"/>
              </w:rPr>
            </w:pPr>
            <w:r w:rsidRPr="00AA67B0">
              <w:rPr>
                <w:color w:val="000000" w:themeColor="text1"/>
                <w:sz w:val="22"/>
                <w:szCs w:val="22"/>
              </w:rPr>
              <w:t>513</w:t>
            </w:r>
          </w:p>
        </w:tc>
        <w:tc>
          <w:tcPr>
            <w:tcW w:w="695" w:type="dxa"/>
          </w:tcPr>
          <w:p w14:paraId="6705DF55" w14:textId="77777777" w:rsidR="00EB56D6" w:rsidRPr="00AA67B0" w:rsidRDefault="004D1F5E">
            <w:pPr>
              <w:jc w:val="center"/>
              <w:rPr>
                <w:color w:val="000000" w:themeColor="text1"/>
                <w:sz w:val="22"/>
                <w:szCs w:val="22"/>
              </w:rPr>
            </w:pPr>
            <w:r w:rsidRPr="00AA67B0">
              <w:rPr>
                <w:color w:val="000000" w:themeColor="text1"/>
                <w:sz w:val="22"/>
                <w:szCs w:val="22"/>
              </w:rPr>
              <w:t>54.2</w:t>
            </w:r>
          </w:p>
        </w:tc>
        <w:tc>
          <w:tcPr>
            <w:tcW w:w="682" w:type="dxa"/>
          </w:tcPr>
          <w:p w14:paraId="6755B85D" w14:textId="77777777" w:rsidR="00EB56D6" w:rsidRPr="00AA67B0" w:rsidRDefault="00EB56D6">
            <w:pPr>
              <w:jc w:val="center"/>
              <w:rPr>
                <w:color w:val="000000" w:themeColor="text1"/>
                <w:sz w:val="22"/>
                <w:szCs w:val="22"/>
              </w:rPr>
            </w:pPr>
          </w:p>
        </w:tc>
        <w:tc>
          <w:tcPr>
            <w:tcW w:w="681" w:type="dxa"/>
          </w:tcPr>
          <w:p w14:paraId="5E8EA49F" w14:textId="77777777" w:rsidR="00EB56D6" w:rsidRPr="00AA67B0" w:rsidRDefault="00EB56D6">
            <w:pPr>
              <w:jc w:val="center"/>
              <w:rPr>
                <w:color w:val="000000" w:themeColor="text1"/>
                <w:sz w:val="22"/>
                <w:szCs w:val="22"/>
              </w:rPr>
            </w:pPr>
          </w:p>
        </w:tc>
        <w:tc>
          <w:tcPr>
            <w:tcW w:w="694" w:type="dxa"/>
          </w:tcPr>
          <w:p w14:paraId="214E43A0" w14:textId="77777777" w:rsidR="00EB56D6" w:rsidRPr="00AA67B0" w:rsidRDefault="004D1F5E">
            <w:pPr>
              <w:jc w:val="center"/>
              <w:rPr>
                <w:color w:val="000000" w:themeColor="text1"/>
                <w:sz w:val="22"/>
                <w:szCs w:val="22"/>
              </w:rPr>
            </w:pPr>
            <w:r w:rsidRPr="00AA67B0">
              <w:rPr>
                <w:color w:val="000000" w:themeColor="text1"/>
                <w:sz w:val="22"/>
                <w:szCs w:val="22"/>
              </w:rPr>
              <w:t>377</w:t>
            </w:r>
          </w:p>
        </w:tc>
        <w:tc>
          <w:tcPr>
            <w:tcW w:w="695" w:type="dxa"/>
          </w:tcPr>
          <w:p w14:paraId="52851F20" w14:textId="77777777" w:rsidR="00EB56D6" w:rsidRPr="00AA67B0" w:rsidRDefault="004D1F5E">
            <w:pPr>
              <w:jc w:val="center"/>
              <w:rPr>
                <w:color w:val="000000" w:themeColor="text1"/>
                <w:sz w:val="22"/>
                <w:szCs w:val="22"/>
              </w:rPr>
            </w:pPr>
            <w:r w:rsidRPr="00AA67B0">
              <w:rPr>
                <w:color w:val="000000" w:themeColor="text1"/>
                <w:sz w:val="22"/>
                <w:szCs w:val="22"/>
              </w:rPr>
              <w:t>39.8</w:t>
            </w:r>
          </w:p>
        </w:tc>
        <w:tc>
          <w:tcPr>
            <w:tcW w:w="682" w:type="dxa"/>
          </w:tcPr>
          <w:p w14:paraId="5807EBD6" w14:textId="77777777" w:rsidR="00EB56D6" w:rsidRPr="00AA67B0" w:rsidRDefault="00EB56D6">
            <w:pPr>
              <w:jc w:val="center"/>
              <w:rPr>
                <w:color w:val="000000" w:themeColor="text1"/>
                <w:sz w:val="22"/>
                <w:szCs w:val="22"/>
              </w:rPr>
            </w:pPr>
          </w:p>
        </w:tc>
        <w:tc>
          <w:tcPr>
            <w:tcW w:w="681" w:type="dxa"/>
          </w:tcPr>
          <w:p w14:paraId="42EF4915" w14:textId="77777777" w:rsidR="00EB56D6" w:rsidRPr="00AA67B0" w:rsidRDefault="00EB56D6">
            <w:pPr>
              <w:jc w:val="center"/>
              <w:rPr>
                <w:color w:val="000000" w:themeColor="text1"/>
                <w:sz w:val="22"/>
                <w:szCs w:val="22"/>
              </w:rPr>
            </w:pPr>
          </w:p>
        </w:tc>
        <w:tc>
          <w:tcPr>
            <w:tcW w:w="694" w:type="dxa"/>
          </w:tcPr>
          <w:p w14:paraId="70D38A62" w14:textId="77777777" w:rsidR="00EB56D6" w:rsidRPr="00AA67B0" w:rsidRDefault="004D1F5E">
            <w:pPr>
              <w:jc w:val="center"/>
              <w:rPr>
                <w:color w:val="000000" w:themeColor="text1"/>
                <w:sz w:val="22"/>
                <w:szCs w:val="22"/>
              </w:rPr>
            </w:pPr>
            <w:r w:rsidRPr="00AA67B0">
              <w:rPr>
                <w:color w:val="000000" w:themeColor="text1"/>
                <w:sz w:val="22"/>
                <w:szCs w:val="22"/>
              </w:rPr>
              <w:t>57</w:t>
            </w:r>
          </w:p>
        </w:tc>
        <w:tc>
          <w:tcPr>
            <w:tcW w:w="695" w:type="dxa"/>
          </w:tcPr>
          <w:p w14:paraId="7E70D70C" w14:textId="77777777" w:rsidR="00EB56D6" w:rsidRPr="00AA67B0" w:rsidRDefault="004D1F5E">
            <w:pPr>
              <w:jc w:val="center"/>
              <w:rPr>
                <w:color w:val="000000" w:themeColor="text1"/>
                <w:sz w:val="22"/>
                <w:szCs w:val="22"/>
              </w:rPr>
            </w:pPr>
            <w:r w:rsidRPr="00AA67B0">
              <w:rPr>
                <w:color w:val="000000" w:themeColor="text1"/>
                <w:sz w:val="22"/>
                <w:szCs w:val="22"/>
              </w:rPr>
              <w:t>6.0</w:t>
            </w:r>
          </w:p>
        </w:tc>
        <w:tc>
          <w:tcPr>
            <w:tcW w:w="682" w:type="dxa"/>
          </w:tcPr>
          <w:p w14:paraId="49F6D488" w14:textId="77777777" w:rsidR="00EB56D6" w:rsidRPr="00AA67B0" w:rsidRDefault="00EB56D6">
            <w:pPr>
              <w:jc w:val="center"/>
              <w:rPr>
                <w:color w:val="000000" w:themeColor="text1"/>
                <w:sz w:val="22"/>
                <w:szCs w:val="22"/>
              </w:rPr>
            </w:pPr>
          </w:p>
        </w:tc>
      </w:tr>
    </w:tbl>
    <w:p w14:paraId="5C3B7C94" w14:textId="7E7BA158" w:rsidR="00EB56D6" w:rsidRPr="00AA67B0" w:rsidRDefault="004D1F5E">
      <w:pPr>
        <w:spacing w:after="0"/>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i/>
          <w:color w:val="000000" w:themeColor="text1"/>
          <w:sz w:val="20"/>
          <w:szCs w:val="20"/>
        </w:rPr>
        <w:t>Note</w:t>
      </w:r>
      <w:r w:rsidRPr="00AA67B0">
        <w:rPr>
          <w:rFonts w:ascii="Times New Roman" w:eastAsia="Gungsuh" w:hAnsi="Times New Roman" w:cs="Times New Roman"/>
          <w:color w:val="000000" w:themeColor="text1"/>
          <w:sz w:val="20"/>
          <w:szCs w:val="20"/>
        </w:rPr>
        <w:t>: Manual (Seisdedos, 1997):</w:t>
      </w:r>
      <w:r w:rsidR="00DD3384" w:rsidRPr="00AA67B0">
        <w:rPr>
          <w:rFonts w:ascii="Times New Roman" w:eastAsia="Gungsuh" w:hAnsi="Times New Roman" w:cs="Times New Roman"/>
          <w:color w:val="000000" w:themeColor="text1"/>
          <w:sz w:val="20"/>
          <w:szCs w:val="20"/>
        </w:rPr>
        <w:t xml:space="preserve"> </w:t>
      </w:r>
      <w:r w:rsidRPr="00AA67B0">
        <w:rPr>
          <w:rFonts w:ascii="Times New Roman" w:eastAsia="Gungsuh" w:hAnsi="Times New Roman" w:cs="Times New Roman"/>
          <w:color w:val="000000" w:themeColor="text1"/>
          <w:sz w:val="20"/>
          <w:szCs w:val="20"/>
        </w:rPr>
        <w:t>EE (low: ≤14, moderate: 24-15, high: ≥25); DP (low ≤3, moderate: 9-4, high: ≥10); PA (low: ≤32, moderate: 39-33, high: ≥40).</w:t>
      </w:r>
    </w:p>
    <w:p w14:paraId="712717CC" w14:textId="77777777" w:rsidR="00EB56D6" w:rsidRPr="00AA67B0" w:rsidRDefault="00F211B7">
      <w:pPr>
        <w:spacing w:after="0"/>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 xml:space="preserve">EE, Emotional Exhaustion. DP, Depersonalisation. </w:t>
      </w:r>
      <w:r w:rsidR="004D1F5E" w:rsidRPr="00AA67B0">
        <w:rPr>
          <w:rFonts w:ascii="Times New Roman" w:eastAsia="Times New Roman" w:hAnsi="Times New Roman" w:cs="Times New Roman"/>
          <w:color w:val="000000" w:themeColor="text1"/>
          <w:sz w:val="20"/>
          <w:szCs w:val="20"/>
        </w:rPr>
        <w:t>PA, Personal Accomplishment.</w:t>
      </w:r>
    </w:p>
    <w:p w14:paraId="03C8EBBE" w14:textId="77777777" w:rsidR="00EB56D6" w:rsidRPr="00AA67B0" w:rsidRDefault="00EB56D6">
      <w:pPr>
        <w:rPr>
          <w:rFonts w:ascii="Times New Roman" w:eastAsia="Times New Roman" w:hAnsi="Times New Roman" w:cs="Times New Roman"/>
          <w:b/>
          <w:color w:val="000000" w:themeColor="text1"/>
        </w:rPr>
      </w:pPr>
    </w:p>
    <w:p w14:paraId="4E088A99" w14:textId="67E9A560"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Bivariate correlations were calculated between the 11 socio-demographic characteristics with the three components of burnout (Table 4). Next, in order to determine the predictor value of the socio-demographic variables on the dimensions of the MBI, three hierarchical regression equations were performed for each dimension of burnout: EE, DP and PA (Table 5). The eight socio-d</w:t>
      </w:r>
      <w:r w:rsidR="00F211B7" w:rsidRPr="00AA67B0">
        <w:rPr>
          <w:rFonts w:ascii="Times New Roman" w:eastAsia="Times New Roman" w:hAnsi="Times New Roman" w:cs="Times New Roman"/>
          <w:color w:val="000000" w:themeColor="text1"/>
          <w:sz w:val="24"/>
          <w:szCs w:val="24"/>
        </w:rPr>
        <w:t>emographic characteristics that are</w:t>
      </w:r>
      <w:r w:rsidRPr="00AA67B0">
        <w:rPr>
          <w:rFonts w:ascii="Times New Roman" w:eastAsia="Times New Roman" w:hAnsi="Times New Roman" w:cs="Times New Roman"/>
          <w:color w:val="000000" w:themeColor="text1"/>
          <w:sz w:val="24"/>
          <w:szCs w:val="24"/>
        </w:rPr>
        <w:t xml:space="preserve"> </w:t>
      </w:r>
      <w:r w:rsidR="00F211B7" w:rsidRPr="00AA67B0">
        <w:rPr>
          <w:rFonts w:ascii="Times New Roman" w:eastAsia="Times New Roman" w:hAnsi="Times New Roman" w:cs="Times New Roman"/>
          <w:color w:val="000000" w:themeColor="text1"/>
          <w:sz w:val="24"/>
          <w:szCs w:val="24"/>
        </w:rPr>
        <w:t>bivariate</w:t>
      </w:r>
      <w:r w:rsidRPr="00AA67B0">
        <w:rPr>
          <w:rFonts w:ascii="Times New Roman" w:eastAsia="Times New Roman" w:hAnsi="Times New Roman" w:cs="Times New Roman"/>
          <w:color w:val="000000" w:themeColor="text1"/>
          <w:sz w:val="24"/>
          <w:szCs w:val="24"/>
        </w:rPr>
        <w:t xml:space="preserve"> </w:t>
      </w:r>
      <w:r w:rsidR="00F211B7" w:rsidRPr="00AA67B0">
        <w:rPr>
          <w:rFonts w:ascii="Times New Roman" w:eastAsia="Times New Roman" w:hAnsi="Times New Roman" w:cs="Times New Roman"/>
          <w:color w:val="000000" w:themeColor="text1"/>
          <w:sz w:val="24"/>
          <w:szCs w:val="24"/>
        </w:rPr>
        <w:t xml:space="preserve">in </w:t>
      </w:r>
      <w:r w:rsidRPr="00AA67B0">
        <w:rPr>
          <w:rFonts w:ascii="Times New Roman" w:eastAsia="Times New Roman" w:hAnsi="Times New Roman" w:cs="Times New Roman"/>
          <w:color w:val="000000" w:themeColor="text1"/>
          <w:sz w:val="24"/>
          <w:szCs w:val="24"/>
        </w:rPr>
        <w:t>correlations with at lea</w:t>
      </w:r>
      <w:r w:rsidR="00F211B7" w:rsidRPr="00AA67B0">
        <w:rPr>
          <w:rFonts w:ascii="Times New Roman" w:eastAsia="Times New Roman" w:hAnsi="Times New Roman" w:cs="Times New Roman"/>
          <w:color w:val="000000" w:themeColor="text1"/>
          <w:sz w:val="24"/>
          <w:szCs w:val="24"/>
        </w:rPr>
        <w:t>st one component of burnout have been</w:t>
      </w:r>
      <w:r w:rsidRPr="00AA67B0">
        <w:rPr>
          <w:rFonts w:ascii="Times New Roman" w:eastAsia="Times New Roman" w:hAnsi="Times New Roman" w:cs="Times New Roman"/>
          <w:color w:val="000000" w:themeColor="text1"/>
          <w:sz w:val="24"/>
          <w:szCs w:val="24"/>
        </w:rPr>
        <w:t xml:space="preserve"> included as predictors of hierarchical regression.</w:t>
      </w:r>
    </w:p>
    <w:p w14:paraId="52BA9DAF" w14:textId="0E39EB48"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In the first step of the regression analysis, the effect of the biological variables was examined (gender </w:t>
      </w:r>
      <w:r w:rsidR="00EE2F8C" w:rsidRPr="00AA67B0">
        <w:rPr>
          <w:rFonts w:ascii="Times New Roman" w:eastAsia="Times New Roman" w:hAnsi="Times New Roman" w:cs="Times New Roman"/>
          <w:color w:val="000000" w:themeColor="text1"/>
          <w:sz w:val="24"/>
          <w:szCs w:val="24"/>
        </w:rPr>
        <w:t xml:space="preserve">were </w:t>
      </w:r>
      <w:r w:rsidRPr="00AA67B0">
        <w:rPr>
          <w:rFonts w:ascii="Times New Roman" w:eastAsia="Times New Roman" w:hAnsi="Times New Roman" w:cs="Times New Roman"/>
          <w:color w:val="000000" w:themeColor="text1"/>
          <w:sz w:val="24"/>
          <w:szCs w:val="24"/>
        </w:rPr>
        <w:t>not introduced due to the predominance of women versus men in our sample); in the second step, the social variables (</w:t>
      </w:r>
      <w:r w:rsidR="002362A7" w:rsidRPr="00AA67B0">
        <w:rPr>
          <w:rFonts w:ascii="Times New Roman" w:eastAsia="Times New Roman" w:hAnsi="Times New Roman" w:cs="Times New Roman"/>
          <w:color w:val="000000" w:themeColor="text1"/>
          <w:sz w:val="24"/>
          <w:szCs w:val="24"/>
        </w:rPr>
        <w:t xml:space="preserve">having </w:t>
      </w:r>
      <w:r w:rsidRPr="00AA67B0">
        <w:rPr>
          <w:rFonts w:ascii="Times New Roman" w:eastAsia="Times New Roman" w:hAnsi="Times New Roman" w:cs="Times New Roman"/>
          <w:color w:val="000000" w:themeColor="text1"/>
          <w:sz w:val="24"/>
          <w:szCs w:val="24"/>
        </w:rPr>
        <w:t xml:space="preserve">children) were added and, in the third step, the professional variables were added (work sector, population sector </w:t>
      </w:r>
      <w:r w:rsidR="00EE2F8C" w:rsidRPr="00AA67B0">
        <w:rPr>
          <w:rFonts w:ascii="Times New Roman" w:eastAsia="Times New Roman" w:hAnsi="Times New Roman" w:cs="Times New Roman"/>
          <w:color w:val="000000" w:themeColor="text1"/>
          <w:sz w:val="24"/>
          <w:szCs w:val="24"/>
        </w:rPr>
        <w:t xml:space="preserve">served </w:t>
      </w:r>
      <w:r w:rsidRPr="00AA67B0">
        <w:rPr>
          <w:rFonts w:ascii="Times New Roman" w:eastAsia="Times New Roman" w:hAnsi="Times New Roman" w:cs="Times New Roman"/>
          <w:color w:val="000000" w:themeColor="text1"/>
          <w:sz w:val="24"/>
          <w:szCs w:val="24"/>
        </w:rPr>
        <w:t xml:space="preserve">and </w:t>
      </w:r>
      <w:r w:rsidR="00EE2F8C" w:rsidRPr="00AA67B0">
        <w:rPr>
          <w:rFonts w:ascii="Times New Roman" w:eastAsia="Times New Roman" w:hAnsi="Times New Roman" w:cs="Times New Roman"/>
          <w:color w:val="000000" w:themeColor="text1"/>
          <w:sz w:val="24"/>
          <w:szCs w:val="24"/>
        </w:rPr>
        <w:t>part-time or full-time employment</w:t>
      </w:r>
      <w:r w:rsidRPr="00AA67B0">
        <w:rPr>
          <w:rFonts w:ascii="Times New Roman" w:eastAsia="Times New Roman" w:hAnsi="Times New Roman" w:cs="Times New Roman"/>
          <w:color w:val="000000" w:themeColor="text1"/>
          <w:sz w:val="24"/>
          <w:szCs w:val="24"/>
        </w:rPr>
        <w:t>).</w:t>
      </w:r>
    </w:p>
    <w:p w14:paraId="5C4032AA" w14:textId="4F02B763"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In the first regression equation, taking </w:t>
      </w:r>
      <w:r w:rsidR="002362A7" w:rsidRPr="00AA67B0">
        <w:rPr>
          <w:rFonts w:ascii="Times New Roman" w:eastAsia="Times New Roman" w:hAnsi="Times New Roman" w:cs="Times New Roman"/>
          <w:color w:val="000000" w:themeColor="text1"/>
          <w:sz w:val="24"/>
          <w:szCs w:val="24"/>
        </w:rPr>
        <w:t xml:space="preserve">EE </w:t>
      </w:r>
      <w:r w:rsidRPr="00AA67B0">
        <w:rPr>
          <w:rFonts w:ascii="Times New Roman" w:eastAsia="Times New Roman" w:hAnsi="Times New Roman" w:cs="Times New Roman"/>
          <w:color w:val="000000" w:themeColor="text1"/>
          <w:sz w:val="24"/>
          <w:szCs w:val="24"/>
        </w:rPr>
        <w:t xml:space="preserve">as </w:t>
      </w:r>
      <w:r w:rsidR="002362A7" w:rsidRPr="00AA67B0">
        <w:rPr>
          <w:rFonts w:ascii="Times New Roman" w:eastAsia="Times New Roman" w:hAnsi="Times New Roman" w:cs="Times New Roman"/>
          <w:color w:val="000000" w:themeColor="text1"/>
          <w:sz w:val="24"/>
          <w:szCs w:val="24"/>
        </w:rPr>
        <w:t xml:space="preserve">the </w:t>
      </w:r>
      <w:r w:rsidRPr="00AA67B0">
        <w:rPr>
          <w:rFonts w:ascii="Times New Roman" w:eastAsia="Times New Roman" w:hAnsi="Times New Roman" w:cs="Times New Roman"/>
          <w:color w:val="000000" w:themeColor="text1"/>
          <w:sz w:val="24"/>
          <w:szCs w:val="24"/>
        </w:rPr>
        <w:t xml:space="preserve">dependent variable, having been off work, suffering from chronic disease, </w:t>
      </w:r>
      <w:r w:rsidR="00EE2F8C" w:rsidRPr="00AA67B0">
        <w:rPr>
          <w:rFonts w:ascii="Times New Roman" w:eastAsia="Times New Roman" w:hAnsi="Times New Roman" w:cs="Times New Roman"/>
          <w:color w:val="000000" w:themeColor="text1"/>
          <w:sz w:val="24"/>
          <w:szCs w:val="24"/>
        </w:rPr>
        <w:t xml:space="preserve">having </w:t>
      </w:r>
      <w:r w:rsidRPr="00AA67B0">
        <w:rPr>
          <w:rFonts w:ascii="Times New Roman" w:eastAsia="Times New Roman" w:hAnsi="Times New Roman" w:cs="Times New Roman"/>
          <w:color w:val="000000" w:themeColor="text1"/>
          <w:sz w:val="24"/>
          <w:szCs w:val="24"/>
        </w:rPr>
        <w:t xml:space="preserve">children and population sector </w:t>
      </w:r>
      <w:r w:rsidR="00EE2F8C" w:rsidRPr="00AA67B0">
        <w:rPr>
          <w:rFonts w:ascii="Times New Roman" w:eastAsia="Times New Roman" w:hAnsi="Times New Roman" w:cs="Times New Roman"/>
          <w:color w:val="000000" w:themeColor="text1"/>
          <w:sz w:val="24"/>
          <w:szCs w:val="24"/>
        </w:rPr>
        <w:t xml:space="preserve">served </w:t>
      </w:r>
      <w:r w:rsidRPr="00AA67B0">
        <w:rPr>
          <w:rFonts w:ascii="Times New Roman" w:eastAsia="Times New Roman" w:hAnsi="Times New Roman" w:cs="Times New Roman"/>
          <w:color w:val="000000" w:themeColor="text1"/>
          <w:sz w:val="24"/>
          <w:szCs w:val="24"/>
        </w:rPr>
        <w:t>appear as significant predictors, explaining 5.9% of the variance. For emotional exhaustion the most important predictor variable was having been on sick leave (β = 3.47).</w:t>
      </w:r>
    </w:p>
    <w:p w14:paraId="25E499C6" w14:textId="410E2775"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For the second regression equation, </w:t>
      </w:r>
      <w:r w:rsidR="002362A7" w:rsidRPr="00AA67B0">
        <w:rPr>
          <w:rFonts w:ascii="Times New Roman" w:eastAsia="Times New Roman" w:hAnsi="Times New Roman" w:cs="Times New Roman"/>
          <w:color w:val="000000" w:themeColor="text1"/>
          <w:sz w:val="24"/>
          <w:szCs w:val="24"/>
        </w:rPr>
        <w:t xml:space="preserve">DP </w:t>
      </w:r>
      <w:r w:rsidRPr="00AA67B0">
        <w:rPr>
          <w:rFonts w:ascii="Times New Roman" w:eastAsia="Times New Roman" w:hAnsi="Times New Roman" w:cs="Times New Roman"/>
          <w:color w:val="000000" w:themeColor="text1"/>
          <w:sz w:val="24"/>
          <w:szCs w:val="24"/>
        </w:rPr>
        <w:t xml:space="preserve">has been taken as </w:t>
      </w:r>
      <w:r w:rsidR="002362A7" w:rsidRPr="00AA67B0">
        <w:rPr>
          <w:rFonts w:ascii="Times New Roman" w:eastAsia="Times New Roman" w:hAnsi="Times New Roman" w:cs="Times New Roman"/>
          <w:color w:val="000000" w:themeColor="text1"/>
          <w:sz w:val="24"/>
          <w:szCs w:val="24"/>
        </w:rPr>
        <w:t xml:space="preserve">the </w:t>
      </w:r>
      <w:r w:rsidRPr="00AA67B0">
        <w:rPr>
          <w:rFonts w:ascii="Times New Roman" w:eastAsia="Times New Roman" w:hAnsi="Times New Roman" w:cs="Times New Roman"/>
          <w:color w:val="000000" w:themeColor="text1"/>
          <w:sz w:val="24"/>
          <w:szCs w:val="24"/>
        </w:rPr>
        <w:t>dependent variable.</w:t>
      </w:r>
      <w:r w:rsidR="00DD3384" w:rsidRPr="00AA67B0">
        <w:rPr>
          <w:rFonts w:ascii="Times New Roman" w:eastAsia="Times New Roman" w:hAnsi="Times New Roman" w:cs="Times New Roman"/>
          <w:color w:val="000000" w:themeColor="text1"/>
          <w:sz w:val="24"/>
          <w:szCs w:val="24"/>
        </w:rPr>
        <w:t xml:space="preserve"> </w:t>
      </w:r>
      <w:r w:rsidRPr="00AA67B0">
        <w:rPr>
          <w:rFonts w:ascii="Times New Roman" w:eastAsia="Times New Roman" w:hAnsi="Times New Roman" w:cs="Times New Roman"/>
          <w:color w:val="000000" w:themeColor="text1"/>
          <w:sz w:val="24"/>
          <w:szCs w:val="24"/>
        </w:rPr>
        <w:t>Age, having been out of work, sector of population</w:t>
      </w:r>
      <w:r w:rsidR="00EE2F8C" w:rsidRPr="00AA67B0">
        <w:rPr>
          <w:rFonts w:ascii="Times New Roman" w:eastAsia="Times New Roman" w:hAnsi="Times New Roman" w:cs="Times New Roman"/>
          <w:color w:val="000000" w:themeColor="text1"/>
          <w:sz w:val="24"/>
          <w:szCs w:val="24"/>
        </w:rPr>
        <w:t xml:space="preserve"> served</w:t>
      </w:r>
      <w:r w:rsidRPr="00AA67B0">
        <w:rPr>
          <w:rFonts w:ascii="Times New Roman" w:eastAsia="Times New Roman" w:hAnsi="Times New Roman" w:cs="Times New Roman"/>
          <w:color w:val="000000" w:themeColor="text1"/>
          <w:sz w:val="24"/>
          <w:szCs w:val="24"/>
        </w:rPr>
        <w:t xml:space="preserve"> and </w:t>
      </w:r>
      <w:r w:rsidR="00EE2F8C" w:rsidRPr="00AA67B0">
        <w:rPr>
          <w:rFonts w:ascii="Times New Roman" w:eastAsia="Times New Roman" w:hAnsi="Times New Roman" w:cs="Times New Roman"/>
          <w:color w:val="000000" w:themeColor="text1"/>
          <w:sz w:val="24"/>
          <w:szCs w:val="24"/>
        </w:rPr>
        <w:t>part-time or full-time employment</w:t>
      </w:r>
      <w:r w:rsidRPr="00AA67B0">
        <w:rPr>
          <w:rFonts w:ascii="Times New Roman" w:eastAsia="Times New Roman" w:hAnsi="Times New Roman" w:cs="Times New Roman"/>
          <w:color w:val="000000" w:themeColor="text1"/>
          <w:sz w:val="24"/>
          <w:szCs w:val="24"/>
        </w:rPr>
        <w:t xml:space="preserve"> </w:t>
      </w:r>
      <w:r w:rsidR="002362A7" w:rsidRPr="00AA67B0">
        <w:rPr>
          <w:rFonts w:ascii="Times New Roman" w:eastAsia="Times New Roman" w:hAnsi="Times New Roman" w:cs="Times New Roman"/>
          <w:color w:val="000000" w:themeColor="text1"/>
          <w:sz w:val="24"/>
          <w:szCs w:val="24"/>
        </w:rPr>
        <w:t>were found to be</w:t>
      </w:r>
      <w:r w:rsidRPr="00AA67B0">
        <w:rPr>
          <w:rFonts w:ascii="Times New Roman" w:eastAsia="Times New Roman" w:hAnsi="Times New Roman" w:cs="Times New Roman"/>
          <w:color w:val="000000" w:themeColor="text1"/>
          <w:sz w:val="24"/>
          <w:szCs w:val="24"/>
        </w:rPr>
        <w:t xml:space="preserve"> significant variables, explaining 7.6% of the variance. </w:t>
      </w:r>
      <w:r w:rsidR="00EE2F8C" w:rsidRPr="00AA67B0">
        <w:rPr>
          <w:rFonts w:ascii="Times New Roman" w:eastAsia="Times New Roman" w:hAnsi="Times New Roman" w:cs="Times New Roman"/>
          <w:color w:val="000000" w:themeColor="text1"/>
          <w:sz w:val="24"/>
          <w:szCs w:val="24"/>
        </w:rPr>
        <w:t xml:space="preserve">Part-time or full-time employment </w:t>
      </w:r>
      <w:r w:rsidRPr="00AA67B0">
        <w:rPr>
          <w:rFonts w:ascii="Times New Roman" w:eastAsia="Times New Roman" w:hAnsi="Times New Roman" w:cs="Times New Roman"/>
          <w:color w:val="000000" w:themeColor="text1"/>
          <w:sz w:val="24"/>
          <w:szCs w:val="24"/>
        </w:rPr>
        <w:t>is the most important variable to explain depersonali</w:t>
      </w:r>
      <w:r w:rsidR="00DD3384" w:rsidRPr="00AA67B0">
        <w:rPr>
          <w:rFonts w:ascii="Times New Roman" w:eastAsia="Times New Roman" w:hAnsi="Times New Roman" w:cs="Times New Roman"/>
          <w:color w:val="000000" w:themeColor="text1"/>
          <w:sz w:val="24"/>
          <w:szCs w:val="24"/>
        </w:rPr>
        <w:t>s</w:t>
      </w:r>
      <w:r w:rsidRPr="00AA67B0">
        <w:rPr>
          <w:rFonts w:ascii="Times New Roman" w:eastAsia="Times New Roman" w:hAnsi="Times New Roman" w:cs="Times New Roman"/>
          <w:color w:val="000000" w:themeColor="text1"/>
          <w:sz w:val="24"/>
          <w:szCs w:val="24"/>
        </w:rPr>
        <w:t>ation (β = 1.79).</w:t>
      </w:r>
    </w:p>
    <w:p w14:paraId="4DEBF7A0" w14:textId="243E9243"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In the third regression equation </w:t>
      </w:r>
      <w:r w:rsidR="006F48D3" w:rsidRPr="00AA67B0">
        <w:rPr>
          <w:rFonts w:ascii="Times New Roman" w:eastAsia="Times New Roman" w:hAnsi="Times New Roman" w:cs="Times New Roman"/>
          <w:color w:val="000000" w:themeColor="text1"/>
          <w:sz w:val="24"/>
          <w:szCs w:val="24"/>
        </w:rPr>
        <w:t xml:space="preserve">taking </w:t>
      </w:r>
      <w:r w:rsidRPr="00AA67B0">
        <w:rPr>
          <w:rFonts w:ascii="Times New Roman" w:eastAsia="Times New Roman" w:hAnsi="Times New Roman" w:cs="Times New Roman"/>
          <w:color w:val="000000" w:themeColor="text1"/>
          <w:sz w:val="24"/>
          <w:szCs w:val="24"/>
        </w:rPr>
        <w:t xml:space="preserve">PA as </w:t>
      </w:r>
      <w:r w:rsidR="006F48D3" w:rsidRPr="00AA67B0">
        <w:rPr>
          <w:rFonts w:ascii="Times New Roman" w:eastAsia="Times New Roman" w:hAnsi="Times New Roman" w:cs="Times New Roman"/>
          <w:color w:val="000000" w:themeColor="text1"/>
          <w:sz w:val="24"/>
          <w:szCs w:val="24"/>
        </w:rPr>
        <w:t xml:space="preserve">the </w:t>
      </w:r>
      <w:r w:rsidRPr="00AA67B0">
        <w:rPr>
          <w:rFonts w:ascii="Times New Roman" w:eastAsia="Times New Roman" w:hAnsi="Times New Roman" w:cs="Times New Roman"/>
          <w:color w:val="000000" w:themeColor="text1"/>
          <w:sz w:val="24"/>
          <w:szCs w:val="24"/>
        </w:rPr>
        <w:t xml:space="preserve">dependent variable, the following </w:t>
      </w:r>
      <w:r w:rsidR="006F48D3" w:rsidRPr="00AA67B0">
        <w:rPr>
          <w:rFonts w:ascii="Times New Roman" w:eastAsia="Times New Roman" w:hAnsi="Times New Roman" w:cs="Times New Roman"/>
          <w:color w:val="000000" w:themeColor="text1"/>
          <w:sz w:val="24"/>
          <w:szCs w:val="24"/>
        </w:rPr>
        <w:t>were found to be</w:t>
      </w:r>
      <w:r w:rsidRPr="00AA67B0">
        <w:rPr>
          <w:rFonts w:ascii="Times New Roman" w:eastAsia="Times New Roman" w:hAnsi="Times New Roman" w:cs="Times New Roman"/>
          <w:color w:val="000000" w:themeColor="text1"/>
          <w:sz w:val="24"/>
          <w:szCs w:val="24"/>
        </w:rPr>
        <w:t xml:space="preserve"> significant predictors: the fact of being out of work, the population sector </w:t>
      </w:r>
      <w:r w:rsidR="00EE2F8C" w:rsidRPr="00AA67B0">
        <w:rPr>
          <w:rFonts w:ascii="Times New Roman" w:eastAsia="Times New Roman" w:hAnsi="Times New Roman" w:cs="Times New Roman"/>
          <w:color w:val="000000" w:themeColor="text1"/>
          <w:sz w:val="24"/>
          <w:szCs w:val="24"/>
        </w:rPr>
        <w:t xml:space="preserve">served </w:t>
      </w:r>
      <w:r w:rsidRPr="00AA67B0">
        <w:rPr>
          <w:rFonts w:ascii="Times New Roman" w:eastAsia="Times New Roman" w:hAnsi="Times New Roman" w:cs="Times New Roman"/>
          <w:color w:val="000000" w:themeColor="text1"/>
          <w:sz w:val="24"/>
          <w:szCs w:val="24"/>
        </w:rPr>
        <w:t xml:space="preserve">and </w:t>
      </w:r>
      <w:r w:rsidR="00EE2F8C" w:rsidRPr="00AA67B0">
        <w:rPr>
          <w:rFonts w:ascii="Times New Roman" w:eastAsia="Times New Roman" w:hAnsi="Times New Roman" w:cs="Times New Roman"/>
          <w:color w:val="000000" w:themeColor="text1"/>
          <w:sz w:val="24"/>
          <w:szCs w:val="24"/>
        </w:rPr>
        <w:t>public or private</w:t>
      </w:r>
      <w:r w:rsidRPr="00AA67B0">
        <w:rPr>
          <w:rFonts w:ascii="Times New Roman" w:eastAsia="Times New Roman" w:hAnsi="Times New Roman" w:cs="Times New Roman"/>
          <w:color w:val="000000" w:themeColor="text1"/>
          <w:sz w:val="24"/>
          <w:szCs w:val="24"/>
        </w:rPr>
        <w:t xml:space="preserve"> sector, explaining 2.9% of the variance. </w:t>
      </w:r>
      <w:r w:rsidR="00EE2F8C" w:rsidRPr="00AA67B0">
        <w:rPr>
          <w:rFonts w:ascii="Times New Roman" w:eastAsia="Times New Roman" w:hAnsi="Times New Roman" w:cs="Times New Roman"/>
          <w:color w:val="000000" w:themeColor="text1"/>
          <w:sz w:val="24"/>
          <w:szCs w:val="24"/>
        </w:rPr>
        <w:t>Public or private</w:t>
      </w:r>
      <w:r w:rsidRPr="00AA67B0">
        <w:rPr>
          <w:rFonts w:ascii="Times New Roman" w:eastAsia="Times New Roman" w:hAnsi="Times New Roman" w:cs="Times New Roman"/>
          <w:color w:val="000000" w:themeColor="text1"/>
          <w:sz w:val="24"/>
          <w:szCs w:val="24"/>
        </w:rPr>
        <w:t xml:space="preserve"> sector is the most important variable to explain the lack of personal </w:t>
      </w:r>
      <w:r w:rsidR="00F211B7" w:rsidRPr="00AA67B0">
        <w:rPr>
          <w:rFonts w:ascii="Times New Roman" w:eastAsia="Times New Roman" w:hAnsi="Times New Roman" w:cs="Times New Roman"/>
          <w:color w:val="000000" w:themeColor="text1"/>
          <w:sz w:val="24"/>
          <w:szCs w:val="24"/>
        </w:rPr>
        <w:t>fulfilment</w:t>
      </w:r>
      <w:r w:rsidRPr="00AA67B0">
        <w:rPr>
          <w:rFonts w:ascii="Times New Roman" w:eastAsia="Times New Roman" w:hAnsi="Times New Roman" w:cs="Times New Roman"/>
          <w:color w:val="000000" w:themeColor="text1"/>
          <w:sz w:val="24"/>
          <w:szCs w:val="24"/>
        </w:rPr>
        <w:t xml:space="preserve"> ((β = 1.32).</w:t>
      </w:r>
    </w:p>
    <w:p w14:paraId="45C94DE5" w14:textId="77777777" w:rsidR="00570005" w:rsidRPr="00AA67B0" w:rsidRDefault="00570005">
      <w:pPr>
        <w:widowControl w:val="0"/>
        <w:pBdr>
          <w:top w:val="nil"/>
          <w:left w:val="nil"/>
          <w:bottom w:val="nil"/>
          <w:right w:val="nil"/>
          <w:between w:val="nil"/>
        </w:pBdr>
        <w:spacing w:after="0"/>
        <w:rPr>
          <w:rFonts w:ascii="Times New Roman" w:eastAsia="Times New Roman" w:hAnsi="Times New Roman" w:cs="Times New Roman"/>
          <w:color w:val="000000" w:themeColor="text1"/>
          <w:sz w:val="16"/>
          <w:szCs w:val="16"/>
        </w:rPr>
        <w:sectPr w:rsidR="00570005" w:rsidRPr="00AA67B0">
          <w:footerReference w:type="default" r:id="rId8"/>
          <w:pgSz w:w="11906" w:h="16838"/>
          <w:pgMar w:top="1134" w:right="1134" w:bottom="1134" w:left="1134" w:header="709" w:footer="709" w:gutter="0"/>
          <w:pgNumType w:start="1"/>
          <w:cols w:space="720"/>
        </w:sectPr>
      </w:pPr>
    </w:p>
    <w:p w14:paraId="56BE17BE" w14:textId="77777777" w:rsidR="00EB56D6" w:rsidRPr="00AA67B0" w:rsidRDefault="00EB56D6">
      <w:pPr>
        <w:spacing w:after="0" w:line="240" w:lineRule="auto"/>
        <w:rPr>
          <w:rFonts w:ascii="Times New Roman" w:eastAsia="Times New Roman" w:hAnsi="Times New Roman" w:cs="Times New Roman"/>
          <w:color w:val="000000" w:themeColor="text1"/>
          <w:sz w:val="24"/>
          <w:szCs w:val="24"/>
        </w:rPr>
      </w:pPr>
    </w:p>
    <w:p w14:paraId="55A1ADC9" w14:textId="77777777" w:rsidR="00EB56D6" w:rsidRPr="00AA67B0" w:rsidRDefault="00EB56D6">
      <w:pPr>
        <w:spacing w:after="0" w:line="240" w:lineRule="auto"/>
        <w:rPr>
          <w:rFonts w:ascii="Times New Roman" w:eastAsia="Times New Roman" w:hAnsi="Times New Roman" w:cs="Times New Roman"/>
          <w:color w:val="000000" w:themeColor="text1"/>
          <w:sz w:val="24"/>
          <w:szCs w:val="24"/>
        </w:rPr>
      </w:pPr>
    </w:p>
    <w:p w14:paraId="3694E916" w14:textId="77777777" w:rsidR="00EB56D6" w:rsidRPr="00AA67B0" w:rsidRDefault="00EB56D6">
      <w:pPr>
        <w:spacing w:after="0" w:line="240" w:lineRule="auto"/>
        <w:rPr>
          <w:rFonts w:ascii="Times New Roman" w:eastAsia="Times New Roman" w:hAnsi="Times New Roman" w:cs="Times New Roman"/>
          <w:color w:val="000000" w:themeColor="text1"/>
          <w:sz w:val="24"/>
          <w:szCs w:val="24"/>
        </w:rPr>
      </w:pPr>
    </w:p>
    <w:p w14:paraId="09BECE82" w14:textId="77777777" w:rsidR="00EB56D6" w:rsidRPr="00AA67B0" w:rsidRDefault="004D1F5E">
      <w:pPr>
        <w:spacing w:after="0" w:line="240" w:lineRule="auto"/>
        <w:rPr>
          <w:rFonts w:ascii="Times New Roman" w:eastAsia="Times New Roman" w:hAnsi="Times New Roman" w:cs="Times New Roman"/>
          <w:b/>
          <w:color w:val="000000" w:themeColor="text1"/>
          <w:sz w:val="24"/>
          <w:szCs w:val="24"/>
        </w:rPr>
      </w:pPr>
      <w:r w:rsidRPr="00AA67B0">
        <w:rPr>
          <w:rFonts w:ascii="Times New Roman" w:eastAsia="Times New Roman" w:hAnsi="Times New Roman" w:cs="Times New Roman"/>
          <w:b/>
          <w:color w:val="000000" w:themeColor="text1"/>
          <w:sz w:val="24"/>
          <w:szCs w:val="24"/>
        </w:rPr>
        <w:t>Table 4</w:t>
      </w:r>
    </w:p>
    <w:p w14:paraId="7804F8B6" w14:textId="77777777" w:rsidR="00EB56D6" w:rsidRPr="00AA67B0" w:rsidRDefault="00EB56D6">
      <w:pPr>
        <w:spacing w:after="0" w:line="240" w:lineRule="auto"/>
        <w:rPr>
          <w:rFonts w:ascii="Times New Roman" w:eastAsia="Times New Roman" w:hAnsi="Times New Roman" w:cs="Times New Roman"/>
          <w:b/>
          <w:color w:val="000000" w:themeColor="text1"/>
          <w:sz w:val="24"/>
          <w:szCs w:val="24"/>
        </w:rPr>
      </w:pPr>
    </w:p>
    <w:p w14:paraId="71C653C0" w14:textId="77777777" w:rsidR="00EB56D6" w:rsidRPr="00AA67B0" w:rsidRDefault="004D1F5E">
      <w:pPr>
        <w:spacing w:after="0" w:line="240" w:lineRule="auto"/>
        <w:rPr>
          <w:rFonts w:ascii="Times New Roman" w:eastAsia="Times New Roman" w:hAnsi="Times New Roman" w:cs="Times New Roman"/>
          <w:b/>
          <w:color w:val="000000" w:themeColor="text1"/>
          <w:sz w:val="24"/>
          <w:szCs w:val="24"/>
        </w:rPr>
      </w:pPr>
      <w:r w:rsidRPr="00AA67B0">
        <w:rPr>
          <w:rFonts w:ascii="Times New Roman" w:eastAsia="Times New Roman" w:hAnsi="Times New Roman" w:cs="Times New Roman"/>
          <w:b/>
          <w:color w:val="000000" w:themeColor="text1"/>
          <w:sz w:val="24"/>
          <w:szCs w:val="24"/>
        </w:rPr>
        <w:t>Descriptive statistics and correlation results among major variables</w:t>
      </w:r>
    </w:p>
    <w:p w14:paraId="6087F3D8" w14:textId="77777777" w:rsidR="00EB56D6" w:rsidRPr="00AA67B0" w:rsidRDefault="00EB56D6">
      <w:pPr>
        <w:rPr>
          <w:rFonts w:ascii="Times New Roman" w:eastAsia="Times New Roman" w:hAnsi="Times New Roman" w:cs="Times New Roman"/>
          <w:b/>
          <w:color w:val="000000" w:themeColor="text1"/>
          <w:sz w:val="24"/>
          <w:szCs w:val="24"/>
        </w:rPr>
      </w:pPr>
    </w:p>
    <w:p w14:paraId="5AA2927D" w14:textId="77777777" w:rsidR="00EB56D6" w:rsidRPr="00AA67B0" w:rsidRDefault="00EB56D6">
      <w:pPr>
        <w:rPr>
          <w:rFonts w:ascii="Times New Roman" w:eastAsia="Times New Roman" w:hAnsi="Times New Roman" w:cs="Times New Roman"/>
          <w:b/>
          <w:color w:val="000000" w:themeColor="text1"/>
          <w:sz w:val="24"/>
          <w:szCs w:val="24"/>
        </w:rPr>
      </w:pPr>
    </w:p>
    <w:tbl>
      <w:tblPr>
        <w:tblStyle w:val="a2"/>
        <w:tblW w:w="14570" w:type="dxa"/>
        <w:tblInd w:w="0" w:type="dxa"/>
        <w:tblBorders>
          <w:top w:val="single" w:sz="4" w:space="0" w:color="000000"/>
          <w:bottom w:val="single" w:sz="4" w:space="0" w:color="000000"/>
        </w:tblBorders>
        <w:tblLayout w:type="fixed"/>
        <w:tblLook w:val="0000" w:firstRow="0" w:lastRow="0" w:firstColumn="0" w:lastColumn="0" w:noHBand="0" w:noVBand="0"/>
      </w:tblPr>
      <w:tblGrid>
        <w:gridCol w:w="2921"/>
        <w:gridCol w:w="890"/>
        <w:gridCol w:w="889"/>
        <w:gridCol w:w="810"/>
        <w:gridCol w:w="731"/>
        <w:gridCol w:w="889"/>
        <w:gridCol w:w="810"/>
        <w:gridCol w:w="889"/>
        <w:gridCol w:w="810"/>
        <w:gridCol w:w="810"/>
        <w:gridCol w:w="810"/>
        <w:gridCol w:w="889"/>
        <w:gridCol w:w="889"/>
        <w:gridCol w:w="889"/>
        <w:gridCol w:w="644"/>
      </w:tblGrid>
      <w:tr w:rsidR="00EB56D6" w:rsidRPr="00AA67B0" w14:paraId="7C584C50" w14:textId="77777777">
        <w:trPr>
          <w:trHeight w:val="100"/>
        </w:trPr>
        <w:tc>
          <w:tcPr>
            <w:tcW w:w="2921" w:type="dxa"/>
            <w:tcBorders>
              <w:top w:val="single" w:sz="4" w:space="0" w:color="000000"/>
              <w:bottom w:val="single" w:sz="4" w:space="0" w:color="000000"/>
            </w:tcBorders>
            <w:shd w:val="clear" w:color="auto" w:fill="FFFFFF"/>
          </w:tcPr>
          <w:p w14:paraId="29DAAA44"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90" w:type="dxa"/>
            <w:tcBorders>
              <w:top w:val="single" w:sz="4" w:space="0" w:color="000000"/>
              <w:bottom w:val="single" w:sz="4" w:space="0" w:color="000000"/>
            </w:tcBorders>
            <w:shd w:val="clear" w:color="auto" w:fill="FFFFFF"/>
            <w:vAlign w:val="center"/>
          </w:tcPr>
          <w:p w14:paraId="44C2B8E9"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w:t>
            </w:r>
          </w:p>
        </w:tc>
        <w:tc>
          <w:tcPr>
            <w:tcW w:w="889" w:type="dxa"/>
            <w:tcBorders>
              <w:top w:val="single" w:sz="4" w:space="0" w:color="000000"/>
              <w:bottom w:val="single" w:sz="4" w:space="0" w:color="000000"/>
            </w:tcBorders>
            <w:shd w:val="clear" w:color="auto" w:fill="FFFFFF"/>
            <w:vAlign w:val="center"/>
          </w:tcPr>
          <w:p w14:paraId="7D3CA40C"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2</w:t>
            </w:r>
          </w:p>
        </w:tc>
        <w:tc>
          <w:tcPr>
            <w:tcW w:w="810" w:type="dxa"/>
            <w:tcBorders>
              <w:top w:val="single" w:sz="4" w:space="0" w:color="000000"/>
              <w:bottom w:val="single" w:sz="4" w:space="0" w:color="000000"/>
            </w:tcBorders>
            <w:shd w:val="clear" w:color="auto" w:fill="FFFFFF"/>
            <w:vAlign w:val="center"/>
          </w:tcPr>
          <w:p w14:paraId="1A6E65A9"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3</w:t>
            </w:r>
          </w:p>
        </w:tc>
        <w:tc>
          <w:tcPr>
            <w:tcW w:w="731" w:type="dxa"/>
            <w:tcBorders>
              <w:top w:val="single" w:sz="4" w:space="0" w:color="000000"/>
              <w:bottom w:val="single" w:sz="4" w:space="0" w:color="000000"/>
            </w:tcBorders>
            <w:shd w:val="clear" w:color="auto" w:fill="FFFFFF"/>
            <w:vAlign w:val="center"/>
          </w:tcPr>
          <w:p w14:paraId="183EBD45"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4</w:t>
            </w:r>
          </w:p>
        </w:tc>
        <w:tc>
          <w:tcPr>
            <w:tcW w:w="889" w:type="dxa"/>
            <w:tcBorders>
              <w:top w:val="single" w:sz="4" w:space="0" w:color="000000"/>
              <w:bottom w:val="single" w:sz="4" w:space="0" w:color="000000"/>
            </w:tcBorders>
            <w:shd w:val="clear" w:color="auto" w:fill="FFFFFF"/>
            <w:vAlign w:val="center"/>
          </w:tcPr>
          <w:p w14:paraId="39EFAE5F"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5</w:t>
            </w:r>
          </w:p>
        </w:tc>
        <w:tc>
          <w:tcPr>
            <w:tcW w:w="810" w:type="dxa"/>
            <w:tcBorders>
              <w:top w:val="single" w:sz="4" w:space="0" w:color="000000"/>
              <w:bottom w:val="single" w:sz="4" w:space="0" w:color="000000"/>
            </w:tcBorders>
            <w:shd w:val="clear" w:color="auto" w:fill="FFFFFF"/>
            <w:vAlign w:val="center"/>
          </w:tcPr>
          <w:p w14:paraId="3B015618"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6</w:t>
            </w:r>
          </w:p>
        </w:tc>
        <w:tc>
          <w:tcPr>
            <w:tcW w:w="889" w:type="dxa"/>
            <w:tcBorders>
              <w:top w:val="single" w:sz="4" w:space="0" w:color="000000"/>
              <w:bottom w:val="single" w:sz="4" w:space="0" w:color="000000"/>
            </w:tcBorders>
            <w:shd w:val="clear" w:color="auto" w:fill="FFFFFF"/>
            <w:vAlign w:val="center"/>
          </w:tcPr>
          <w:p w14:paraId="3D50998E"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7</w:t>
            </w:r>
          </w:p>
        </w:tc>
        <w:tc>
          <w:tcPr>
            <w:tcW w:w="810" w:type="dxa"/>
            <w:tcBorders>
              <w:top w:val="single" w:sz="4" w:space="0" w:color="000000"/>
              <w:bottom w:val="single" w:sz="4" w:space="0" w:color="000000"/>
            </w:tcBorders>
            <w:shd w:val="clear" w:color="auto" w:fill="FFFFFF"/>
            <w:vAlign w:val="center"/>
          </w:tcPr>
          <w:p w14:paraId="581FB753"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8</w:t>
            </w:r>
          </w:p>
        </w:tc>
        <w:tc>
          <w:tcPr>
            <w:tcW w:w="810" w:type="dxa"/>
            <w:tcBorders>
              <w:top w:val="single" w:sz="4" w:space="0" w:color="000000"/>
              <w:bottom w:val="single" w:sz="4" w:space="0" w:color="000000"/>
            </w:tcBorders>
            <w:shd w:val="clear" w:color="auto" w:fill="FFFFFF"/>
            <w:vAlign w:val="center"/>
          </w:tcPr>
          <w:p w14:paraId="53C8C3B7"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9</w:t>
            </w:r>
          </w:p>
        </w:tc>
        <w:tc>
          <w:tcPr>
            <w:tcW w:w="810" w:type="dxa"/>
            <w:tcBorders>
              <w:top w:val="single" w:sz="4" w:space="0" w:color="000000"/>
              <w:bottom w:val="single" w:sz="4" w:space="0" w:color="000000"/>
            </w:tcBorders>
            <w:shd w:val="clear" w:color="auto" w:fill="FFFFFF"/>
            <w:vAlign w:val="center"/>
          </w:tcPr>
          <w:p w14:paraId="58093825"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10</w:t>
            </w:r>
          </w:p>
        </w:tc>
        <w:tc>
          <w:tcPr>
            <w:tcW w:w="889" w:type="dxa"/>
            <w:tcBorders>
              <w:top w:val="single" w:sz="4" w:space="0" w:color="000000"/>
              <w:bottom w:val="single" w:sz="4" w:space="0" w:color="000000"/>
            </w:tcBorders>
            <w:shd w:val="clear" w:color="auto" w:fill="FFFFFF"/>
            <w:vAlign w:val="center"/>
          </w:tcPr>
          <w:p w14:paraId="74BBB629"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11</w:t>
            </w:r>
          </w:p>
        </w:tc>
        <w:tc>
          <w:tcPr>
            <w:tcW w:w="889" w:type="dxa"/>
            <w:tcBorders>
              <w:top w:val="single" w:sz="4" w:space="0" w:color="000000"/>
              <w:bottom w:val="single" w:sz="4" w:space="0" w:color="000000"/>
            </w:tcBorders>
            <w:shd w:val="clear" w:color="auto" w:fill="FFFFFF"/>
            <w:vAlign w:val="center"/>
          </w:tcPr>
          <w:p w14:paraId="6048311D"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12</w:t>
            </w:r>
          </w:p>
        </w:tc>
        <w:tc>
          <w:tcPr>
            <w:tcW w:w="889" w:type="dxa"/>
            <w:tcBorders>
              <w:top w:val="single" w:sz="4" w:space="0" w:color="000000"/>
              <w:bottom w:val="single" w:sz="4" w:space="0" w:color="000000"/>
            </w:tcBorders>
            <w:shd w:val="clear" w:color="auto" w:fill="FFFFFF"/>
            <w:vAlign w:val="center"/>
          </w:tcPr>
          <w:p w14:paraId="4C9106DE"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13</w:t>
            </w:r>
          </w:p>
        </w:tc>
        <w:tc>
          <w:tcPr>
            <w:tcW w:w="644" w:type="dxa"/>
            <w:tcBorders>
              <w:top w:val="single" w:sz="4" w:space="0" w:color="000000"/>
              <w:bottom w:val="single" w:sz="4" w:space="0" w:color="000000"/>
            </w:tcBorders>
            <w:shd w:val="clear" w:color="auto" w:fill="FFFFFF"/>
            <w:vAlign w:val="center"/>
          </w:tcPr>
          <w:p w14:paraId="72C14A9D"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14</w:t>
            </w:r>
          </w:p>
        </w:tc>
      </w:tr>
      <w:tr w:rsidR="00EB56D6" w:rsidRPr="00AA67B0" w14:paraId="58F48902" w14:textId="77777777">
        <w:trPr>
          <w:trHeight w:val="100"/>
        </w:trPr>
        <w:tc>
          <w:tcPr>
            <w:tcW w:w="2921" w:type="dxa"/>
            <w:tcBorders>
              <w:top w:val="single" w:sz="4" w:space="0" w:color="000000"/>
            </w:tcBorders>
            <w:shd w:val="clear" w:color="auto" w:fill="FFFFFF"/>
          </w:tcPr>
          <w:p w14:paraId="62748CD3" w14:textId="77777777" w:rsidR="00EB56D6" w:rsidRPr="00AA67B0" w:rsidRDefault="004D1F5E">
            <w:pPr>
              <w:spacing w:after="0"/>
              <w:ind w:left="60" w:right="60"/>
              <w:rPr>
                <w:rFonts w:ascii="Times New Roman" w:eastAsia="Times New Roman" w:hAnsi="Times New Roman" w:cs="Times New Roman"/>
                <w:i/>
                <w:color w:val="000000" w:themeColor="text1"/>
                <w:sz w:val="20"/>
                <w:szCs w:val="20"/>
              </w:rPr>
            </w:pPr>
            <w:r w:rsidRPr="00AA67B0">
              <w:rPr>
                <w:rFonts w:ascii="Times New Roman" w:eastAsia="Times New Roman" w:hAnsi="Times New Roman" w:cs="Times New Roman"/>
                <w:i/>
                <w:color w:val="000000" w:themeColor="text1"/>
                <w:sz w:val="20"/>
                <w:szCs w:val="20"/>
              </w:rPr>
              <w:t>EE</w:t>
            </w:r>
          </w:p>
        </w:tc>
        <w:tc>
          <w:tcPr>
            <w:tcW w:w="890" w:type="dxa"/>
            <w:tcBorders>
              <w:top w:val="single" w:sz="4" w:space="0" w:color="000000"/>
            </w:tcBorders>
            <w:shd w:val="clear" w:color="auto" w:fill="FFFFFF"/>
            <w:vAlign w:val="center"/>
          </w:tcPr>
          <w:p w14:paraId="2C4B6CEB"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w:t>
            </w:r>
          </w:p>
        </w:tc>
        <w:tc>
          <w:tcPr>
            <w:tcW w:w="889" w:type="dxa"/>
            <w:tcBorders>
              <w:top w:val="single" w:sz="4" w:space="0" w:color="000000"/>
            </w:tcBorders>
            <w:shd w:val="clear" w:color="auto" w:fill="FFFFFF"/>
            <w:vAlign w:val="center"/>
          </w:tcPr>
          <w:p w14:paraId="649E4D48"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10" w:type="dxa"/>
            <w:tcBorders>
              <w:top w:val="single" w:sz="4" w:space="0" w:color="000000"/>
            </w:tcBorders>
            <w:shd w:val="clear" w:color="auto" w:fill="FFFFFF"/>
            <w:vAlign w:val="center"/>
          </w:tcPr>
          <w:p w14:paraId="2807C229"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731" w:type="dxa"/>
            <w:tcBorders>
              <w:top w:val="single" w:sz="4" w:space="0" w:color="000000"/>
            </w:tcBorders>
            <w:shd w:val="clear" w:color="auto" w:fill="FFFFFF"/>
            <w:vAlign w:val="center"/>
          </w:tcPr>
          <w:p w14:paraId="4CB0742A"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tcBorders>
              <w:top w:val="single" w:sz="4" w:space="0" w:color="000000"/>
            </w:tcBorders>
            <w:shd w:val="clear" w:color="auto" w:fill="FFFFFF"/>
            <w:vAlign w:val="center"/>
          </w:tcPr>
          <w:p w14:paraId="28653DDC"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10" w:type="dxa"/>
            <w:tcBorders>
              <w:top w:val="single" w:sz="4" w:space="0" w:color="000000"/>
            </w:tcBorders>
            <w:shd w:val="clear" w:color="auto" w:fill="FFFFFF"/>
            <w:vAlign w:val="center"/>
          </w:tcPr>
          <w:p w14:paraId="4F02E927"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tcBorders>
              <w:top w:val="single" w:sz="4" w:space="0" w:color="000000"/>
            </w:tcBorders>
            <w:shd w:val="clear" w:color="auto" w:fill="FFFFFF"/>
            <w:vAlign w:val="center"/>
          </w:tcPr>
          <w:p w14:paraId="3DB75AE7"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10" w:type="dxa"/>
            <w:tcBorders>
              <w:top w:val="single" w:sz="4" w:space="0" w:color="000000"/>
            </w:tcBorders>
            <w:shd w:val="clear" w:color="auto" w:fill="FFFFFF"/>
            <w:vAlign w:val="center"/>
          </w:tcPr>
          <w:p w14:paraId="3E2732AD"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10" w:type="dxa"/>
            <w:tcBorders>
              <w:top w:val="single" w:sz="4" w:space="0" w:color="000000"/>
            </w:tcBorders>
            <w:shd w:val="clear" w:color="auto" w:fill="FFFFFF"/>
            <w:vAlign w:val="center"/>
          </w:tcPr>
          <w:p w14:paraId="00CFD9C3"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10" w:type="dxa"/>
            <w:tcBorders>
              <w:top w:val="single" w:sz="4" w:space="0" w:color="000000"/>
            </w:tcBorders>
            <w:shd w:val="clear" w:color="auto" w:fill="FFFFFF"/>
            <w:vAlign w:val="center"/>
          </w:tcPr>
          <w:p w14:paraId="40E1C92F"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tcBorders>
              <w:top w:val="single" w:sz="4" w:space="0" w:color="000000"/>
            </w:tcBorders>
            <w:shd w:val="clear" w:color="auto" w:fill="FFFFFF"/>
            <w:vAlign w:val="center"/>
          </w:tcPr>
          <w:p w14:paraId="30EFE485"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tcBorders>
              <w:top w:val="single" w:sz="4" w:space="0" w:color="000000"/>
            </w:tcBorders>
            <w:shd w:val="clear" w:color="auto" w:fill="FFFFFF"/>
            <w:vAlign w:val="center"/>
          </w:tcPr>
          <w:p w14:paraId="7E1E9C74"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tcBorders>
              <w:top w:val="single" w:sz="4" w:space="0" w:color="000000"/>
            </w:tcBorders>
            <w:shd w:val="clear" w:color="auto" w:fill="FFFFFF"/>
            <w:vAlign w:val="center"/>
          </w:tcPr>
          <w:p w14:paraId="7764FBAF"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644" w:type="dxa"/>
            <w:tcBorders>
              <w:top w:val="single" w:sz="4" w:space="0" w:color="000000"/>
            </w:tcBorders>
            <w:shd w:val="clear" w:color="auto" w:fill="FFFFFF"/>
            <w:vAlign w:val="center"/>
          </w:tcPr>
          <w:p w14:paraId="781857FD"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r>
      <w:tr w:rsidR="00EB56D6" w:rsidRPr="00AA67B0" w14:paraId="66ED4012" w14:textId="77777777">
        <w:trPr>
          <w:trHeight w:val="100"/>
        </w:trPr>
        <w:tc>
          <w:tcPr>
            <w:tcW w:w="2921" w:type="dxa"/>
            <w:shd w:val="clear" w:color="auto" w:fill="FFFFFF"/>
          </w:tcPr>
          <w:p w14:paraId="3838F48F" w14:textId="77777777" w:rsidR="00EB56D6" w:rsidRPr="00AA67B0" w:rsidRDefault="004D1F5E">
            <w:pPr>
              <w:spacing w:after="0"/>
              <w:ind w:left="60" w:right="60"/>
              <w:rPr>
                <w:rFonts w:ascii="Times New Roman" w:eastAsia="Times New Roman" w:hAnsi="Times New Roman" w:cs="Times New Roman"/>
                <w:i/>
                <w:color w:val="000000" w:themeColor="text1"/>
                <w:sz w:val="20"/>
                <w:szCs w:val="20"/>
              </w:rPr>
            </w:pPr>
            <w:r w:rsidRPr="00AA67B0">
              <w:rPr>
                <w:rFonts w:ascii="Times New Roman" w:eastAsia="Times New Roman" w:hAnsi="Times New Roman" w:cs="Times New Roman"/>
                <w:i/>
                <w:color w:val="000000" w:themeColor="text1"/>
                <w:sz w:val="20"/>
                <w:szCs w:val="20"/>
              </w:rPr>
              <w:t>DP</w:t>
            </w:r>
          </w:p>
        </w:tc>
        <w:tc>
          <w:tcPr>
            <w:tcW w:w="890" w:type="dxa"/>
            <w:shd w:val="clear" w:color="auto" w:fill="FFFFFF"/>
            <w:vAlign w:val="center"/>
          </w:tcPr>
          <w:p w14:paraId="7C0ADBD3"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.516</w:t>
            </w:r>
            <w:r w:rsidRPr="00AA67B0">
              <w:rPr>
                <w:rFonts w:ascii="Times New Roman" w:eastAsia="Times New Roman" w:hAnsi="Times New Roman" w:cs="Times New Roman"/>
                <w:color w:val="000000" w:themeColor="text1"/>
                <w:sz w:val="20"/>
                <w:szCs w:val="20"/>
                <w:vertAlign w:val="superscript"/>
              </w:rPr>
              <w:t>**</w:t>
            </w:r>
          </w:p>
        </w:tc>
        <w:tc>
          <w:tcPr>
            <w:tcW w:w="889" w:type="dxa"/>
            <w:shd w:val="clear" w:color="auto" w:fill="FFFFFF"/>
            <w:vAlign w:val="center"/>
          </w:tcPr>
          <w:p w14:paraId="47A0319A"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w:t>
            </w:r>
          </w:p>
        </w:tc>
        <w:tc>
          <w:tcPr>
            <w:tcW w:w="810" w:type="dxa"/>
            <w:shd w:val="clear" w:color="auto" w:fill="FFFFFF"/>
            <w:vAlign w:val="center"/>
          </w:tcPr>
          <w:p w14:paraId="679BB5D6"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731" w:type="dxa"/>
            <w:shd w:val="clear" w:color="auto" w:fill="FFFFFF"/>
            <w:vAlign w:val="center"/>
          </w:tcPr>
          <w:p w14:paraId="5B9BCB3A"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02D04CE9"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10" w:type="dxa"/>
            <w:shd w:val="clear" w:color="auto" w:fill="FFFFFF"/>
            <w:vAlign w:val="center"/>
          </w:tcPr>
          <w:p w14:paraId="0C233C26"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3EC72572"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10" w:type="dxa"/>
            <w:shd w:val="clear" w:color="auto" w:fill="FFFFFF"/>
            <w:vAlign w:val="center"/>
          </w:tcPr>
          <w:p w14:paraId="78F45441"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10" w:type="dxa"/>
            <w:shd w:val="clear" w:color="auto" w:fill="FFFFFF"/>
            <w:vAlign w:val="center"/>
          </w:tcPr>
          <w:p w14:paraId="505127F7"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10" w:type="dxa"/>
            <w:shd w:val="clear" w:color="auto" w:fill="FFFFFF"/>
            <w:vAlign w:val="center"/>
          </w:tcPr>
          <w:p w14:paraId="54770D5D"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7648926E"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59268A82"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369C8381"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644" w:type="dxa"/>
            <w:shd w:val="clear" w:color="auto" w:fill="FFFFFF"/>
            <w:vAlign w:val="center"/>
          </w:tcPr>
          <w:p w14:paraId="2D6DC362"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r>
      <w:tr w:rsidR="00EB56D6" w:rsidRPr="00AA67B0" w14:paraId="7A9C650E" w14:textId="77777777">
        <w:trPr>
          <w:trHeight w:val="100"/>
        </w:trPr>
        <w:tc>
          <w:tcPr>
            <w:tcW w:w="2921" w:type="dxa"/>
            <w:shd w:val="clear" w:color="auto" w:fill="FFFFFF"/>
          </w:tcPr>
          <w:p w14:paraId="36BFD898" w14:textId="77777777" w:rsidR="00EB56D6" w:rsidRPr="00AA67B0" w:rsidRDefault="004D1F5E">
            <w:pPr>
              <w:spacing w:after="0"/>
              <w:ind w:left="60" w:right="60"/>
              <w:rPr>
                <w:rFonts w:ascii="Times New Roman" w:eastAsia="Times New Roman" w:hAnsi="Times New Roman" w:cs="Times New Roman"/>
                <w:i/>
                <w:color w:val="000000" w:themeColor="text1"/>
                <w:sz w:val="20"/>
                <w:szCs w:val="20"/>
              </w:rPr>
            </w:pPr>
            <w:r w:rsidRPr="00AA67B0">
              <w:rPr>
                <w:rFonts w:ascii="Times New Roman" w:eastAsia="Times New Roman" w:hAnsi="Times New Roman" w:cs="Times New Roman"/>
                <w:i/>
                <w:color w:val="000000" w:themeColor="text1"/>
                <w:sz w:val="20"/>
                <w:szCs w:val="20"/>
              </w:rPr>
              <w:t>PA</w:t>
            </w:r>
          </w:p>
        </w:tc>
        <w:tc>
          <w:tcPr>
            <w:tcW w:w="890" w:type="dxa"/>
            <w:shd w:val="clear" w:color="auto" w:fill="FFFFFF"/>
            <w:vAlign w:val="center"/>
          </w:tcPr>
          <w:p w14:paraId="78E501D4"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-.307</w:t>
            </w:r>
            <w:r w:rsidRPr="00AA67B0">
              <w:rPr>
                <w:rFonts w:ascii="Times New Roman" w:eastAsia="Times New Roman" w:hAnsi="Times New Roman" w:cs="Times New Roman"/>
                <w:color w:val="000000" w:themeColor="text1"/>
                <w:sz w:val="20"/>
                <w:szCs w:val="20"/>
                <w:vertAlign w:val="superscript"/>
              </w:rPr>
              <w:t>**</w:t>
            </w:r>
          </w:p>
        </w:tc>
        <w:tc>
          <w:tcPr>
            <w:tcW w:w="889" w:type="dxa"/>
            <w:shd w:val="clear" w:color="auto" w:fill="FFFFFF"/>
            <w:vAlign w:val="center"/>
          </w:tcPr>
          <w:p w14:paraId="04840E37"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-.316</w:t>
            </w:r>
            <w:r w:rsidRPr="00AA67B0">
              <w:rPr>
                <w:rFonts w:ascii="Times New Roman" w:eastAsia="Times New Roman" w:hAnsi="Times New Roman" w:cs="Times New Roman"/>
                <w:color w:val="000000" w:themeColor="text1"/>
                <w:sz w:val="20"/>
                <w:szCs w:val="20"/>
                <w:vertAlign w:val="superscript"/>
              </w:rPr>
              <w:t>**</w:t>
            </w:r>
          </w:p>
        </w:tc>
        <w:tc>
          <w:tcPr>
            <w:tcW w:w="810" w:type="dxa"/>
            <w:shd w:val="clear" w:color="auto" w:fill="FFFFFF"/>
            <w:vAlign w:val="center"/>
          </w:tcPr>
          <w:p w14:paraId="5922128B"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w:t>
            </w:r>
          </w:p>
        </w:tc>
        <w:tc>
          <w:tcPr>
            <w:tcW w:w="731" w:type="dxa"/>
            <w:shd w:val="clear" w:color="auto" w:fill="FFFFFF"/>
            <w:vAlign w:val="center"/>
          </w:tcPr>
          <w:p w14:paraId="0B2E520A"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0B0E008F"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10" w:type="dxa"/>
            <w:shd w:val="clear" w:color="auto" w:fill="FFFFFF"/>
            <w:vAlign w:val="center"/>
          </w:tcPr>
          <w:p w14:paraId="333826E5"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0C38FAD5"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10" w:type="dxa"/>
            <w:shd w:val="clear" w:color="auto" w:fill="FFFFFF"/>
            <w:vAlign w:val="center"/>
          </w:tcPr>
          <w:p w14:paraId="00FB767A"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10" w:type="dxa"/>
            <w:shd w:val="clear" w:color="auto" w:fill="FFFFFF"/>
            <w:vAlign w:val="center"/>
          </w:tcPr>
          <w:p w14:paraId="49FCE988"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10" w:type="dxa"/>
            <w:shd w:val="clear" w:color="auto" w:fill="FFFFFF"/>
            <w:vAlign w:val="center"/>
          </w:tcPr>
          <w:p w14:paraId="0697DDA1"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0B1E128D"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1BBA7362"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5AE92701"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644" w:type="dxa"/>
            <w:shd w:val="clear" w:color="auto" w:fill="FFFFFF"/>
            <w:vAlign w:val="center"/>
          </w:tcPr>
          <w:p w14:paraId="3D8A383E"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r>
      <w:tr w:rsidR="00EB56D6" w:rsidRPr="00AA67B0" w14:paraId="6E628800" w14:textId="77777777">
        <w:trPr>
          <w:trHeight w:val="100"/>
        </w:trPr>
        <w:tc>
          <w:tcPr>
            <w:tcW w:w="2921" w:type="dxa"/>
            <w:shd w:val="clear" w:color="auto" w:fill="FFFFFF"/>
          </w:tcPr>
          <w:p w14:paraId="5CDDD5AD" w14:textId="77777777" w:rsidR="00EB56D6" w:rsidRPr="00AA67B0" w:rsidRDefault="004D1F5E">
            <w:pPr>
              <w:spacing w:after="0"/>
              <w:ind w:left="60" w:right="60"/>
              <w:rPr>
                <w:rFonts w:ascii="Times New Roman" w:eastAsia="Times New Roman" w:hAnsi="Times New Roman" w:cs="Times New Roman"/>
                <w:i/>
                <w:color w:val="000000" w:themeColor="text1"/>
                <w:sz w:val="20"/>
                <w:szCs w:val="20"/>
              </w:rPr>
            </w:pPr>
            <w:r w:rsidRPr="00AA67B0">
              <w:rPr>
                <w:rFonts w:ascii="Times New Roman" w:eastAsia="Times New Roman" w:hAnsi="Times New Roman" w:cs="Times New Roman"/>
                <w:i/>
                <w:color w:val="000000" w:themeColor="text1"/>
                <w:sz w:val="20"/>
                <w:szCs w:val="20"/>
              </w:rPr>
              <w:t>Gender</w:t>
            </w:r>
          </w:p>
        </w:tc>
        <w:tc>
          <w:tcPr>
            <w:tcW w:w="890" w:type="dxa"/>
            <w:shd w:val="clear" w:color="auto" w:fill="FFFFFF"/>
            <w:vAlign w:val="center"/>
          </w:tcPr>
          <w:p w14:paraId="455B36F9"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.043</w:t>
            </w:r>
          </w:p>
        </w:tc>
        <w:tc>
          <w:tcPr>
            <w:tcW w:w="889" w:type="dxa"/>
            <w:shd w:val="clear" w:color="auto" w:fill="FFFFFF"/>
            <w:vAlign w:val="center"/>
          </w:tcPr>
          <w:p w14:paraId="5758C23A"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-.067</w:t>
            </w:r>
            <w:r w:rsidRPr="00AA67B0">
              <w:rPr>
                <w:rFonts w:ascii="Times New Roman" w:eastAsia="Times New Roman" w:hAnsi="Times New Roman" w:cs="Times New Roman"/>
                <w:color w:val="000000" w:themeColor="text1"/>
                <w:sz w:val="20"/>
                <w:szCs w:val="20"/>
                <w:vertAlign w:val="superscript"/>
              </w:rPr>
              <w:t>*</w:t>
            </w:r>
          </w:p>
        </w:tc>
        <w:tc>
          <w:tcPr>
            <w:tcW w:w="810" w:type="dxa"/>
            <w:shd w:val="clear" w:color="auto" w:fill="FFFFFF"/>
            <w:vAlign w:val="center"/>
          </w:tcPr>
          <w:p w14:paraId="032007C3"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.041</w:t>
            </w:r>
          </w:p>
        </w:tc>
        <w:tc>
          <w:tcPr>
            <w:tcW w:w="731" w:type="dxa"/>
            <w:shd w:val="clear" w:color="auto" w:fill="FFFFFF"/>
            <w:vAlign w:val="center"/>
          </w:tcPr>
          <w:p w14:paraId="7ED66B66"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w:t>
            </w:r>
          </w:p>
        </w:tc>
        <w:tc>
          <w:tcPr>
            <w:tcW w:w="889" w:type="dxa"/>
            <w:shd w:val="clear" w:color="auto" w:fill="FFFFFF"/>
            <w:vAlign w:val="center"/>
          </w:tcPr>
          <w:p w14:paraId="02E324AB"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10" w:type="dxa"/>
            <w:shd w:val="clear" w:color="auto" w:fill="FFFFFF"/>
            <w:vAlign w:val="center"/>
          </w:tcPr>
          <w:p w14:paraId="5F025ADC"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7864803D"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10" w:type="dxa"/>
            <w:shd w:val="clear" w:color="auto" w:fill="FFFFFF"/>
            <w:vAlign w:val="center"/>
          </w:tcPr>
          <w:p w14:paraId="42989E98"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10" w:type="dxa"/>
            <w:shd w:val="clear" w:color="auto" w:fill="FFFFFF"/>
            <w:vAlign w:val="center"/>
          </w:tcPr>
          <w:p w14:paraId="7408FF90"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10" w:type="dxa"/>
            <w:shd w:val="clear" w:color="auto" w:fill="FFFFFF"/>
            <w:vAlign w:val="center"/>
          </w:tcPr>
          <w:p w14:paraId="1841290E"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16D0CDBD"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6371825B"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14A2CDD4"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644" w:type="dxa"/>
            <w:shd w:val="clear" w:color="auto" w:fill="FFFFFF"/>
            <w:vAlign w:val="center"/>
          </w:tcPr>
          <w:p w14:paraId="44BEFFA7"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r>
      <w:tr w:rsidR="00EB56D6" w:rsidRPr="00AA67B0" w14:paraId="5439734A" w14:textId="77777777">
        <w:trPr>
          <w:trHeight w:val="100"/>
        </w:trPr>
        <w:tc>
          <w:tcPr>
            <w:tcW w:w="2921" w:type="dxa"/>
            <w:shd w:val="clear" w:color="auto" w:fill="FFFFFF"/>
          </w:tcPr>
          <w:p w14:paraId="55085C23" w14:textId="77777777" w:rsidR="00EB56D6" w:rsidRPr="00AA67B0" w:rsidRDefault="004D1F5E">
            <w:pPr>
              <w:spacing w:after="0"/>
              <w:ind w:left="60" w:right="60"/>
              <w:rPr>
                <w:rFonts w:ascii="Times New Roman" w:eastAsia="Times New Roman" w:hAnsi="Times New Roman" w:cs="Times New Roman"/>
                <w:i/>
                <w:color w:val="000000" w:themeColor="text1"/>
                <w:sz w:val="20"/>
                <w:szCs w:val="20"/>
              </w:rPr>
            </w:pPr>
            <w:r w:rsidRPr="00AA67B0">
              <w:rPr>
                <w:rFonts w:ascii="Times New Roman" w:eastAsia="Times New Roman" w:hAnsi="Times New Roman" w:cs="Times New Roman"/>
                <w:i/>
                <w:color w:val="000000" w:themeColor="text1"/>
                <w:sz w:val="20"/>
                <w:szCs w:val="20"/>
              </w:rPr>
              <w:t>Age</w:t>
            </w:r>
          </w:p>
        </w:tc>
        <w:tc>
          <w:tcPr>
            <w:tcW w:w="890" w:type="dxa"/>
            <w:shd w:val="clear" w:color="auto" w:fill="FFFFFF"/>
            <w:vAlign w:val="center"/>
          </w:tcPr>
          <w:p w14:paraId="3CC39989"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.005</w:t>
            </w:r>
          </w:p>
        </w:tc>
        <w:tc>
          <w:tcPr>
            <w:tcW w:w="889" w:type="dxa"/>
            <w:shd w:val="clear" w:color="auto" w:fill="FFFFFF"/>
            <w:vAlign w:val="center"/>
          </w:tcPr>
          <w:p w14:paraId="36E5E90C"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-.098</w:t>
            </w:r>
            <w:r w:rsidRPr="00AA67B0">
              <w:rPr>
                <w:rFonts w:ascii="Times New Roman" w:eastAsia="Times New Roman" w:hAnsi="Times New Roman" w:cs="Times New Roman"/>
                <w:color w:val="000000" w:themeColor="text1"/>
                <w:sz w:val="20"/>
                <w:szCs w:val="20"/>
                <w:vertAlign w:val="superscript"/>
              </w:rPr>
              <w:t>**</w:t>
            </w:r>
          </w:p>
        </w:tc>
        <w:tc>
          <w:tcPr>
            <w:tcW w:w="810" w:type="dxa"/>
            <w:shd w:val="clear" w:color="auto" w:fill="FFFFFF"/>
            <w:vAlign w:val="center"/>
          </w:tcPr>
          <w:p w14:paraId="2D2A47C1"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.010</w:t>
            </w:r>
          </w:p>
        </w:tc>
        <w:tc>
          <w:tcPr>
            <w:tcW w:w="731" w:type="dxa"/>
            <w:shd w:val="clear" w:color="auto" w:fill="FFFFFF"/>
            <w:vAlign w:val="center"/>
          </w:tcPr>
          <w:p w14:paraId="4A0F7B26"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.006</w:t>
            </w:r>
          </w:p>
        </w:tc>
        <w:tc>
          <w:tcPr>
            <w:tcW w:w="889" w:type="dxa"/>
            <w:shd w:val="clear" w:color="auto" w:fill="FFFFFF"/>
            <w:vAlign w:val="center"/>
          </w:tcPr>
          <w:p w14:paraId="4EF437F2"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w:t>
            </w:r>
          </w:p>
        </w:tc>
        <w:tc>
          <w:tcPr>
            <w:tcW w:w="810" w:type="dxa"/>
            <w:shd w:val="clear" w:color="auto" w:fill="FFFFFF"/>
            <w:vAlign w:val="center"/>
          </w:tcPr>
          <w:p w14:paraId="0A132246"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1B16855D"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10" w:type="dxa"/>
            <w:shd w:val="clear" w:color="auto" w:fill="FFFFFF"/>
            <w:vAlign w:val="center"/>
          </w:tcPr>
          <w:p w14:paraId="4A070186"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10" w:type="dxa"/>
            <w:shd w:val="clear" w:color="auto" w:fill="FFFFFF"/>
            <w:vAlign w:val="center"/>
          </w:tcPr>
          <w:p w14:paraId="09D24920"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10" w:type="dxa"/>
            <w:shd w:val="clear" w:color="auto" w:fill="FFFFFF"/>
            <w:vAlign w:val="center"/>
          </w:tcPr>
          <w:p w14:paraId="634C0320"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7620CCCC"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635D96B5"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186B8D7A"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644" w:type="dxa"/>
            <w:shd w:val="clear" w:color="auto" w:fill="FFFFFF"/>
            <w:vAlign w:val="center"/>
          </w:tcPr>
          <w:p w14:paraId="711F2E20"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r>
      <w:tr w:rsidR="00EB56D6" w:rsidRPr="00AA67B0" w14:paraId="39E87C9C" w14:textId="77777777">
        <w:trPr>
          <w:trHeight w:val="100"/>
        </w:trPr>
        <w:tc>
          <w:tcPr>
            <w:tcW w:w="2921" w:type="dxa"/>
            <w:shd w:val="clear" w:color="auto" w:fill="FFFFFF"/>
          </w:tcPr>
          <w:p w14:paraId="3B08CCDA" w14:textId="77777777" w:rsidR="00EB56D6" w:rsidRPr="00AA67B0" w:rsidRDefault="004D1F5E">
            <w:pPr>
              <w:spacing w:after="0"/>
              <w:ind w:left="60" w:right="60"/>
              <w:rPr>
                <w:rFonts w:ascii="Times New Roman" w:eastAsia="Times New Roman" w:hAnsi="Times New Roman" w:cs="Times New Roman"/>
                <w:i/>
                <w:color w:val="000000" w:themeColor="text1"/>
                <w:sz w:val="20"/>
                <w:szCs w:val="20"/>
              </w:rPr>
            </w:pPr>
            <w:r w:rsidRPr="00AA67B0">
              <w:rPr>
                <w:rFonts w:ascii="Times New Roman" w:eastAsia="Times New Roman" w:hAnsi="Times New Roman" w:cs="Times New Roman"/>
                <w:i/>
                <w:color w:val="000000" w:themeColor="text1"/>
                <w:sz w:val="20"/>
                <w:szCs w:val="20"/>
              </w:rPr>
              <w:t>Type of Cohabitation</w:t>
            </w:r>
          </w:p>
        </w:tc>
        <w:tc>
          <w:tcPr>
            <w:tcW w:w="890" w:type="dxa"/>
            <w:shd w:val="clear" w:color="auto" w:fill="FFFFFF"/>
            <w:vAlign w:val="center"/>
          </w:tcPr>
          <w:p w14:paraId="5BA7A168"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-.005</w:t>
            </w:r>
          </w:p>
        </w:tc>
        <w:tc>
          <w:tcPr>
            <w:tcW w:w="889" w:type="dxa"/>
            <w:shd w:val="clear" w:color="auto" w:fill="FFFFFF"/>
            <w:vAlign w:val="center"/>
          </w:tcPr>
          <w:p w14:paraId="48E8074B"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-.025</w:t>
            </w:r>
          </w:p>
        </w:tc>
        <w:tc>
          <w:tcPr>
            <w:tcW w:w="810" w:type="dxa"/>
            <w:shd w:val="clear" w:color="auto" w:fill="FFFFFF"/>
            <w:vAlign w:val="center"/>
          </w:tcPr>
          <w:p w14:paraId="086CB366"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.011</w:t>
            </w:r>
          </w:p>
        </w:tc>
        <w:tc>
          <w:tcPr>
            <w:tcW w:w="731" w:type="dxa"/>
            <w:shd w:val="clear" w:color="auto" w:fill="FFFFFF"/>
            <w:vAlign w:val="center"/>
          </w:tcPr>
          <w:p w14:paraId="4D2AF9CA"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.024</w:t>
            </w:r>
          </w:p>
        </w:tc>
        <w:tc>
          <w:tcPr>
            <w:tcW w:w="889" w:type="dxa"/>
            <w:shd w:val="clear" w:color="auto" w:fill="FFFFFF"/>
            <w:vAlign w:val="center"/>
          </w:tcPr>
          <w:p w14:paraId="04BD9AE5"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.049</w:t>
            </w:r>
          </w:p>
        </w:tc>
        <w:tc>
          <w:tcPr>
            <w:tcW w:w="810" w:type="dxa"/>
            <w:shd w:val="clear" w:color="auto" w:fill="FFFFFF"/>
            <w:vAlign w:val="center"/>
          </w:tcPr>
          <w:p w14:paraId="78EBF4DE"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w:t>
            </w:r>
          </w:p>
        </w:tc>
        <w:tc>
          <w:tcPr>
            <w:tcW w:w="889" w:type="dxa"/>
            <w:shd w:val="clear" w:color="auto" w:fill="FFFFFF"/>
            <w:vAlign w:val="center"/>
          </w:tcPr>
          <w:p w14:paraId="0F1DD2E6"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10" w:type="dxa"/>
            <w:shd w:val="clear" w:color="auto" w:fill="FFFFFF"/>
            <w:vAlign w:val="center"/>
          </w:tcPr>
          <w:p w14:paraId="06308AEA"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10" w:type="dxa"/>
            <w:shd w:val="clear" w:color="auto" w:fill="FFFFFF"/>
            <w:vAlign w:val="center"/>
          </w:tcPr>
          <w:p w14:paraId="0F4DDFD1"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10" w:type="dxa"/>
            <w:shd w:val="clear" w:color="auto" w:fill="FFFFFF"/>
            <w:vAlign w:val="center"/>
          </w:tcPr>
          <w:p w14:paraId="3990203B"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69313FF6"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216FB9FA"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563E7E17"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644" w:type="dxa"/>
            <w:shd w:val="clear" w:color="auto" w:fill="FFFFFF"/>
            <w:vAlign w:val="center"/>
          </w:tcPr>
          <w:p w14:paraId="36782321"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r>
      <w:tr w:rsidR="00EB56D6" w:rsidRPr="00AA67B0" w14:paraId="3F875B17" w14:textId="77777777">
        <w:trPr>
          <w:trHeight w:val="100"/>
        </w:trPr>
        <w:tc>
          <w:tcPr>
            <w:tcW w:w="2921" w:type="dxa"/>
            <w:shd w:val="clear" w:color="auto" w:fill="FFFFFF"/>
          </w:tcPr>
          <w:p w14:paraId="27013B6C" w14:textId="77777777" w:rsidR="00EB56D6" w:rsidRPr="00AA67B0" w:rsidRDefault="004D1F5E">
            <w:pPr>
              <w:spacing w:after="0"/>
              <w:ind w:left="60" w:right="60"/>
              <w:rPr>
                <w:rFonts w:ascii="Times New Roman" w:eastAsia="Times New Roman" w:hAnsi="Times New Roman" w:cs="Times New Roman"/>
                <w:i/>
                <w:color w:val="000000" w:themeColor="text1"/>
                <w:sz w:val="20"/>
                <w:szCs w:val="20"/>
              </w:rPr>
            </w:pPr>
            <w:r w:rsidRPr="00AA67B0">
              <w:rPr>
                <w:rFonts w:ascii="Times New Roman" w:eastAsia="Times New Roman" w:hAnsi="Times New Roman" w:cs="Times New Roman"/>
                <w:i/>
                <w:color w:val="000000" w:themeColor="text1"/>
                <w:sz w:val="20"/>
                <w:szCs w:val="20"/>
              </w:rPr>
              <w:t>Having Children in the Home</w:t>
            </w:r>
          </w:p>
        </w:tc>
        <w:tc>
          <w:tcPr>
            <w:tcW w:w="890" w:type="dxa"/>
            <w:shd w:val="clear" w:color="auto" w:fill="FFFFFF"/>
            <w:vAlign w:val="center"/>
          </w:tcPr>
          <w:p w14:paraId="75517466"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-.055</w:t>
            </w:r>
          </w:p>
        </w:tc>
        <w:tc>
          <w:tcPr>
            <w:tcW w:w="889" w:type="dxa"/>
            <w:shd w:val="clear" w:color="auto" w:fill="FFFFFF"/>
            <w:vAlign w:val="center"/>
          </w:tcPr>
          <w:p w14:paraId="50EB68E9"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-.076</w:t>
            </w:r>
            <w:r w:rsidRPr="00AA67B0">
              <w:rPr>
                <w:rFonts w:ascii="Times New Roman" w:eastAsia="Times New Roman" w:hAnsi="Times New Roman" w:cs="Times New Roman"/>
                <w:color w:val="000000" w:themeColor="text1"/>
                <w:sz w:val="20"/>
                <w:szCs w:val="20"/>
                <w:vertAlign w:val="superscript"/>
              </w:rPr>
              <w:t>*</w:t>
            </w:r>
          </w:p>
        </w:tc>
        <w:tc>
          <w:tcPr>
            <w:tcW w:w="810" w:type="dxa"/>
            <w:shd w:val="clear" w:color="auto" w:fill="FFFFFF"/>
            <w:vAlign w:val="center"/>
          </w:tcPr>
          <w:p w14:paraId="72249639"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.043</w:t>
            </w:r>
          </w:p>
        </w:tc>
        <w:tc>
          <w:tcPr>
            <w:tcW w:w="731" w:type="dxa"/>
            <w:shd w:val="clear" w:color="auto" w:fill="FFFFFF"/>
            <w:vAlign w:val="center"/>
          </w:tcPr>
          <w:p w14:paraId="00A3F1E9"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.034</w:t>
            </w:r>
          </w:p>
        </w:tc>
        <w:tc>
          <w:tcPr>
            <w:tcW w:w="889" w:type="dxa"/>
            <w:shd w:val="clear" w:color="auto" w:fill="FFFFFF"/>
            <w:vAlign w:val="center"/>
          </w:tcPr>
          <w:p w14:paraId="2C842C05"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.410</w:t>
            </w:r>
            <w:r w:rsidRPr="00AA67B0">
              <w:rPr>
                <w:rFonts w:ascii="Times New Roman" w:eastAsia="Times New Roman" w:hAnsi="Times New Roman" w:cs="Times New Roman"/>
                <w:color w:val="000000" w:themeColor="text1"/>
                <w:sz w:val="20"/>
                <w:szCs w:val="20"/>
                <w:vertAlign w:val="superscript"/>
              </w:rPr>
              <w:t>**</w:t>
            </w:r>
          </w:p>
        </w:tc>
        <w:tc>
          <w:tcPr>
            <w:tcW w:w="810" w:type="dxa"/>
            <w:shd w:val="clear" w:color="auto" w:fill="FFFFFF"/>
            <w:vAlign w:val="center"/>
          </w:tcPr>
          <w:p w14:paraId="65999461"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.406</w:t>
            </w:r>
            <w:r w:rsidRPr="00AA67B0">
              <w:rPr>
                <w:rFonts w:ascii="Times New Roman" w:eastAsia="Times New Roman" w:hAnsi="Times New Roman" w:cs="Times New Roman"/>
                <w:color w:val="000000" w:themeColor="text1"/>
                <w:sz w:val="20"/>
                <w:szCs w:val="20"/>
                <w:vertAlign w:val="superscript"/>
              </w:rPr>
              <w:t>**</w:t>
            </w:r>
          </w:p>
        </w:tc>
        <w:tc>
          <w:tcPr>
            <w:tcW w:w="889" w:type="dxa"/>
            <w:shd w:val="clear" w:color="auto" w:fill="FFFFFF"/>
            <w:vAlign w:val="center"/>
          </w:tcPr>
          <w:p w14:paraId="4FDE4D67"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w:t>
            </w:r>
          </w:p>
        </w:tc>
        <w:tc>
          <w:tcPr>
            <w:tcW w:w="810" w:type="dxa"/>
            <w:shd w:val="clear" w:color="auto" w:fill="FFFFFF"/>
            <w:vAlign w:val="center"/>
          </w:tcPr>
          <w:p w14:paraId="1E4C49D4"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10" w:type="dxa"/>
            <w:shd w:val="clear" w:color="auto" w:fill="FFFFFF"/>
            <w:vAlign w:val="center"/>
          </w:tcPr>
          <w:p w14:paraId="6FB90295"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10" w:type="dxa"/>
            <w:shd w:val="clear" w:color="auto" w:fill="FFFFFF"/>
            <w:vAlign w:val="center"/>
          </w:tcPr>
          <w:p w14:paraId="27A513A7"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02EFBB86"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41F9AC97"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225EFD71"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644" w:type="dxa"/>
            <w:shd w:val="clear" w:color="auto" w:fill="FFFFFF"/>
            <w:vAlign w:val="center"/>
          </w:tcPr>
          <w:p w14:paraId="312DA7B3"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r>
      <w:tr w:rsidR="00EB56D6" w:rsidRPr="00AA67B0" w14:paraId="634B2C66" w14:textId="77777777">
        <w:trPr>
          <w:trHeight w:val="100"/>
        </w:trPr>
        <w:tc>
          <w:tcPr>
            <w:tcW w:w="2921" w:type="dxa"/>
            <w:shd w:val="clear" w:color="auto" w:fill="FFFFFF"/>
          </w:tcPr>
          <w:p w14:paraId="46BE4BC2" w14:textId="0F7DE32B" w:rsidR="00EB56D6" w:rsidRPr="00AA67B0" w:rsidRDefault="004D1F5E">
            <w:pPr>
              <w:spacing w:after="0"/>
              <w:ind w:left="60" w:right="60"/>
              <w:rPr>
                <w:rFonts w:ascii="Times New Roman" w:eastAsia="Times New Roman" w:hAnsi="Times New Roman" w:cs="Times New Roman"/>
                <w:i/>
                <w:color w:val="000000" w:themeColor="text1"/>
                <w:sz w:val="20"/>
                <w:szCs w:val="20"/>
              </w:rPr>
            </w:pPr>
            <w:r w:rsidRPr="00AA67B0">
              <w:rPr>
                <w:rFonts w:ascii="Times New Roman" w:eastAsia="Times New Roman" w:hAnsi="Times New Roman" w:cs="Times New Roman"/>
                <w:i/>
                <w:color w:val="000000" w:themeColor="text1"/>
                <w:sz w:val="20"/>
                <w:szCs w:val="20"/>
              </w:rPr>
              <w:t>Working Relationship</w:t>
            </w:r>
          </w:p>
        </w:tc>
        <w:tc>
          <w:tcPr>
            <w:tcW w:w="890" w:type="dxa"/>
            <w:shd w:val="clear" w:color="auto" w:fill="FFFFFF"/>
            <w:vAlign w:val="center"/>
          </w:tcPr>
          <w:p w14:paraId="0D6D397B"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.000</w:t>
            </w:r>
          </w:p>
        </w:tc>
        <w:tc>
          <w:tcPr>
            <w:tcW w:w="889" w:type="dxa"/>
            <w:shd w:val="clear" w:color="auto" w:fill="FFFFFF"/>
            <w:vAlign w:val="center"/>
          </w:tcPr>
          <w:p w14:paraId="3242DBA8"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-.028</w:t>
            </w:r>
          </w:p>
        </w:tc>
        <w:tc>
          <w:tcPr>
            <w:tcW w:w="810" w:type="dxa"/>
            <w:shd w:val="clear" w:color="auto" w:fill="FFFFFF"/>
            <w:vAlign w:val="center"/>
          </w:tcPr>
          <w:p w14:paraId="49F189CE"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.032</w:t>
            </w:r>
          </w:p>
        </w:tc>
        <w:tc>
          <w:tcPr>
            <w:tcW w:w="731" w:type="dxa"/>
            <w:shd w:val="clear" w:color="auto" w:fill="FFFFFF"/>
            <w:vAlign w:val="center"/>
          </w:tcPr>
          <w:p w14:paraId="52409281"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-.013</w:t>
            </w:r>
          </w:p>
        </w:tc>
        <w:tc>
          <w:tcPr>
            <w:tcW w:w="889" w:type="dxa"/>
            <w:shd w:val="clear" w:color="auto" w:fill="FFFFFF"/>
            <w:vAlign w:val="center"/>
          </w:tcPr>
          <w:p w14:paraId="12414392"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.248</w:t>
            </w:r>
            <w:r w:rsidRPr="00AA67B0">
              <w:rPr>
                <w:rFonts w:ascii="Times New Roman" w:eastAsia="Times New Roman" w:hAnsi="Times New Roman" w:cs="Times New Roman"/>
                <w:color w:val="000000" w:themeColor="text1"/>
                <w:sz w:val="20"/>
                <w:szCs w:val="20"/>
                <w:vertAlign w:val="superscript"/>
              </w:rPr>
              <w:t>**</w:t>
            </w:r>
          </w:p>
        </w:tc>
        <w:tc>
          <w:tcPr>
            <w:tcW w:w="810" w:type="dxa"/>
            <w:shd w:val="clear" w:color="auto" w:fill="FFFFFF"/>
            <w:vAlign w:val="center"/>
          </w:tcPr>
          <w:p w14:paraId="6CC9F04F"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.069</w:t>
            </w:r>
            <w:r w:rsidRPr="00AA67B0">
              <w:rPr>
                <w:rFonts w:ascii="Times New Roman" w:eastAsia="Times New Roman" w:hAnsi="Times New Roman" w:cs="Times New Roman"/>
                <w:color w:val="000000" w:themeColor="text1"/>
                <w:sz w:val="20"/>
                <w:szCs w:val="20"/>
                <w:vertAlign w:val="superscript"/>
              </w:rPr>
              <w:t>*</w:t>
            </w:r>
          </w:p>
        </w:tc>
        <w:tc>
          <w:tcPr>
            <w:tcW w:w="889" w:type="dxa"/>
            <w:shd w:val="clear" w:color="auto" w:fill="FFFFFF"/>
            <w:vAlign w:val="center"/>
          </w:tcPr>
          <w:p w14:paraId="1A14F05A"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.192</w:t>
            </w:r>
            <w:r w:rsidRPr="00AA67B0">
              <w:rPr>
                <w:rFonts w:ascii="Times New Roman" w:eastAsia="Times New Roman" w:hAnsi="Times New Roman" w:cs="Times New Roman"/>
                <w:color w:val="000000" w:themeColor="text1"/>
                <w:sz w:val="20"/>
                <w:szCs w:val="20"/>
                <w:vertAlign w:val="superscript"/>
              </w:rPr>
              <w:t>**</w:t>
            </w:r>
          </w:p>
        </w:tc>
        <w:tc>
          <w:tcPr>
            <w:tcW w:w="810" w:type="dxa"/>
            <w:shd w:val="clear" w:color="auto" w:fill="FFFFFF"/>
            <w:vAlign w:val="center"/>
          </w:tcPr>
          <w:p w14:paraId="305564AB"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w:t>
            </w:r>
          </w:p>
        </w:tc>
        <w:tc>
          <w:tcPr>
            <w:tcW w:w="810" w:type="dxa"/>
            <w:shd w:val="clear" w:color="auto" w:fill="FFFFFF"/>
            <w:vAlign w:val="center"/>
          </w:tcPr>
          <w:p w14:paraId="5703C1E5"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10" w:type="dxa"/>
            <w:shd w:val="clear" w:color="auto" w:fill="FFFFFF"/>
            <w:vAlign w:val="center"/>
          </w:tcPr>
          <w:p w14:paraId="46325CDC"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152148A1"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38EC00C3"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50E5FC20"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644" w:type="dxa"/>
            <w:shd w:val="clear" w:color="auto" w:fill="FFFFFF"/>
            <w:vAlign w:val="center"/>
          </w:tcPr>
          <w:p w14:paraId="220635D0"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r>
      <w:tr w:rsidR="00EB56D6" w:rsidRPr="00AA67B0" w14:paraId="6644877B" w14:textId="77777777">
        <w:trPr>
          <w:trHeight w:val="100"/>
        </w:trPr>
        <w:tc>
          <w:tcPr>
            <w:tcW w:w="2921" w:type="dxa"/>
            <w:shd w:val="clear" w:color="auto" w:fill="FFFFFF"/>
          </w:tcPr>
          <w:p w14:paraId="55F33BF7" w14:textId="77777777" w:rsidR="00EB56D6" w:rsidRPr="00AA67B0" w:rsidRDefault="004D1F5E">
            <w:pPr>
              <w:spacing w:after="0"/>
              <w:ind w:left="60" w:right="60"/>
              <w:rPr>
                <w:rFonts w:ascii="Times New Roman" w:eastAsia="Times New Roman" w:hAnsi="Times New Roman" w:cs="Times New Roman"/>
                <w:i/>
                <w:color w:val="000000" w:themeColor="text1"/>
                <w:sz w:val="20"/>
                <w:szCs w:val="20"/>
              </w:rPr>
            </w:pPr>
            <w:r w:rsidRPr="00AA67B0">
              <w:rPr>
                <w:rFonts w:ascii="Times New Roman" w:eastAsia="Times New Roman" w:hAnsi="Times New Roman" w:cs="Times New Roman"/>
                <w:i/>
                <w:color w:val="000000" w:themeColor="text1"/>
                <w:sz w:val="20"/>
                <w:szCs w:val="20"/>
              </w:rPr>
              <w:t>Having Been on Sick Leave</w:t>
            </w:r>
          </w:p>
        </w:tc>
        <w:tc>
          <w:tcPr>
            <w:tcW w:w="890" w:type="dxa"/>
            <w:shd w:val="clear" w:color="auto" w:fill="FFFFFF"/>
            <w:vAlign w:val="center"/>
          </w:tcPr>
          <w:p w14:paraId="6F5056AF"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.144</w:t>
            </w:r>
            <w:r w:rsidRPr="00AA67B0">
              <w:rPr>
                <w:rFonts w:ascii="Times New Roman" w:eastAsia="Times New Roman" w:hAnsi="Times New Roman" w:cs="Times New Roman"/>
                <w:color w:val="000000" w:themeColor="text1"/>
                <w:sz w:val="20"/>
                <w:szCs w:val="20"/>
                <w:vertAlign w:val="superscript"/>
              </w:rPr>
              <w:t>**</w:t>
            </w:r>
          </w:p>
        </w:tc>
        <w:tc>
          <w:tcPr>
            <w:tcW w:w="889" w:type="dxa"/>
            <w:shd w:val="clear" w:color="auto" w:fill="FFFFFF"/>
            <w:vAlign w:val="center"/>
          </w:tcPr>
          <w:p w14:paraId="781A5D40"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.098</w:t>
            </w:r>
            <w:r w:rsidRPr="00AA67B0">
              <w:rPr>
                <w:rFonts w:ascii="Times New Roman" w:eastAsia="Times New Roman" w:hAnsi="Times New Roman" w:cs="Times New Roman"/>
                <w:color w:val="000000" w:themeColor="text1"/>
                <w:sz w:val="20"/>
                <w:szCs w:val="20"/>
                <w:vertAlign w:val="superscript"/>
              </w:rPr>
              <w:t>**</w:t>
            </w:r>
          </w:p>
        </w:tc>
        <w:tc>
          <w:tcPr>
            <w:tcW w:w="810" w:type="dxa"/>
            <w:shd w:val="clear" w:color="auto" w:fill="FFFFFF"/>
            <w:vAlign w:val="center"/>
          </w:tcPr>
          <w:p w14:paraId="26784CD3"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-.080</w:t>
            </w:r>
            <w:r w:rsidRPr="00AA67B0">
              <w:rPr>
                <w:rFonts w:ascii="Times New Roman" w:eastAsia="Times New Roman" w:hAnsi="Times New Roman" w:cs="Times New Roman"/>
                <w:color w:val="000000" w:themeColor="text1"/>
                <w:sz w:val="20"/>
                <w:szCs w:val="20"/>
                <w:vertAlign w:val="superscript"/>
              </w:rPr>
              <w:t>*</w:t>
            </w:r>
          </w:p>
        </w:tc>
        <w:tc>
          <w:tcPr>
            <w:tcW w:w="731" w:type="dxa"/>
            <w:shd w:val="clear" w:color="auto" w:fill="FFFFFF"/>
            <w:vAlign w:val="center"/>
          </w:tcPr>
          <w:p w14:paraId="7027F5C5"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-.003</w:t>
            </w:r>
          </w:p>
        </w:tc>
        <w:tc>
          <w:tcPr>
            <w:tcW w:w="889" w:type="dxa"/>
            <w:shd w:val="clear" w:color="auto" w:fill="FFFFFF"/>
            <w:vAlign w:val="center"/>
          </w:tcPr>
          <w:p w14:paraId="480C6C78"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-.050</w:t>
            </w:r>
          </w:p>
        </w:tc>
        <w:tc>
          <w:tcPr>
            <w:tcW w:w="810" w:type="dxa"/>
            <w:shd w:val="clear" w:color="auto" w:fill="FFFFFF"/>
            <w:vAlign w:val="center"/>
          </w:tcPr>
          <w:p w14:paraId="1FAA12A2"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.079</w:t>
            </w:r>
            <w:r w:rsidRPr="00AA67B0">
              <w:rPr>
                <w:rFonts w:ascii="Times New Roman" w:eastAsia="Times New Roman" w:hAnsi="Times New Roman" w:cs="Times New Roman"/>
                <w:color w:val="000000" w:themeColor="text1"/>
                <w:sz w:val="20"/>
                <w:szCs w:val="20"/>
                <w:vertAlign w:val="superscript"/>
              </w:rPr>
              <w:t>*</w:t>
            </w:r>
          </w:p>
        </w:tc>
        <w:tc>
          <w:tcPr>
            <w:tcW w:w="889" w:type="dxa"/>
            <w:shd w:val="clear" w:color="auto" w:fill="FFFFFF"/>
            <w:vAlign w:val="center"/>
          </w:tcPr>
          <w:p w14:paraId="5A999EED"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-.005</w:t>
            </w:r>
          </w:p>
        </w:tc>
        <w:tc>
          <w:tcPr>
            <w:tcW w:w="810" w:type="dxa"/>
            <w:shd w:val="clear" w:color="auto" w:fill="FFFFFF"/>
            <w:vAlign w:val="center"/>
          </w:tcPr>
          <w:p w14:paraId="5272CE47"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.073</w:t>
            </w:r>
            <w:r w:rsidRPr="00AA67B0">
              <w:rPr>
                <w:rFonts w:ascii="Times New Roman" w:eastAsia="Times New Roman" w:hAnsi="Times New Roman" w:cs="Times New Roman"/>
                <w:color w:val="000000" w:themeColor="text1"/>
                <w:sz w:val="20"/>
                <w:szCs w:val="20"/>
                <w:vertAlign w:val="superscript"/>
              </w:rPr>
              <w:t>*</w:t>
            </w:r>
          </w:p>
        </w:tc>
        <w:tc>
          <w:tcPr>
            <w:tcW w:w="810" w:type="dxa"/>
            <w:shd w:val="clear" w:color="auto" w:fill="FFFFFF"/>
            <w:vAlign w:val="center"/>
          </w:tcPr>
          <w:p w14:paraId="19604E04"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w:t>
            </w:r>
          </w:p>
        </w:tc>
        <w:tc>
          <w:tcPr>
            <w:tcW w:w="810" w:type="dxa"/>
            <w:shd w:val="clear" w:color="auto" w:fill="FFFFFF"/>
            <w:vAlign w:val="center"/>
          </w:tcPr>
          <w:p w14:paraId="1E9DA93A"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2171CB46"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258FEE8F"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1DBFAB49"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644" w:type="dxa"/>
            <w:shd w:val="clear" w:color="auto" w:fill="FFFFFF"/>
            <w:vAlign w:val="center"/>
          </w:tcPr>
          <w:p w14:paraId="5D1ABFFF"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r>
      <w:tr w:rsidR="00EB56D6" w:rsidRPr="00AA67B0" w14:paraId="34FDEBC6" w14:textId="77777777">
        <w:trPr>
          <w:trHeight w:val="100"/>
        </w:trPr>
        <w:tc>
          <w:tcPr>
            <w:tcW w:w="2921" w:type="dxa"/>
            <w:shd w:val="clear" w:color="auto" w:fill="FFFFFF"/>
          </w:tcPr>
          <w:p w14:paraId="6E0E5E76" w14:textId="77777777" w:rsidR="00EB56D6" w:rsidRPr="00AA67B0" w:rsidRDefault="004D1F5E">
            <w:pPr>
              <w:spacing w:after="0"/>
              <w:ind w:left="60" w:right="60"/>
              <w:rPr>
                <w:rFonts w:ascii="Times New Roman" w:eastAsia="Times New Roman" w:hAnsi="Times New Roman" w:cs="Times New Roman"/>
                <w:i/>
                <w:color w:val="000000" w:themeColor="text1"/>
                <w:sz w:val="20"/>
                <w:szCs w:val="20"/>
              </w:rPr>
            </w:pPr>
            <w:r w:rsidRPr="00AA67B0">
              <w:rPr>
                <w:rFonts w:ascii="Times New Roman" w:eastAsia="Times New Roman" w:hAnsi="Times New Roman" w:cs="Times New Roman"/>
                <w:i/>
                <w:color w:val="000000" w:themeColor="text1"/>
                <w:sz w:val="20"/>
                <w:szCs w:val="20"/>
              </w:rPr>
              <w:t>Suffering from a Chronic Illness</w:t>
            </w:r>
          </w:p>
        </w:tc>
        <w:tc>
          <w:tcPr>
            <w:tcW w:w="890" w:type="dxa"/>
            <w:shd w:val="clear" w:color="auto" w:fill="FFFFFF"/>
            <w:vAlign w:val="center"/>
          </w:tcPr>
          <w:p w14:paraId="384ABA79"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.119</w:t>
            </w:r>
            <w:r w:rsidRPr="00AA67B0">
              <w:rPr>
                <w:rFonts w:ascii="Times New Roman" w:eastAsia="Times New Roman" w:hAnsi="Times New Roman" w:cs="Times New Roman"/>
                <w:color w:val="000000" w:themeColor="text1"/>
                <w:sz w:val="20"/>
                <w:szCs w:val="20"/>
                <w:vertAlign w:val="superscript"/>
              </w:rPr>
              <w:t>**</w:t>
            </w:r>
          </w:p>
        </w:tc>
        <w:tc>
          <w:tcPr>
            <w:tcW w:w="889" w:type="dxa"/>
            <w:shd w:val="clear" w:color="auto" w:fill="FFFFFF"/>
            <w:vAlign w:val="center"/>
          </w:tcPr>
          <w:p w14:paraId="25E07320"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.019</w:t>
            </w:r>
          </w:p>
        </w:tc>
        <w:tc>
          <w:tcPr>
            <w:tcW w:w="810" w:type="dxa"/>
            <w:shd w:val="clear" w:color="auto" w:fill="FFFFFF"/>
            <w:vAlign w:val="center"/>
          </w:tcPr>
          <w:p w14:paraId="2EAD4AD3"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.007</w:t>
            </w:r>
          </w:p>
        </w:tc>
        <w:tc>
          <w:tcPr>
            <w:tcW w:w="731" w:type="dxa"/>
            <w:shd w:val="clear" w:color="auto" w:fill="FFFFFF"/>
            <w:vAlign w:val="center"/>
          </w:tcPr>
          <w:p w14:paraId="491C3CF8"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.017</w:t>
            </w:r>
          </w:p>
        </w:tc>
        <w:tc>
          <w:tcPr>
            <w:tcW w:w="889" w:type="dxa"/>
            <w:shd w:val="clear" w:color="auto" w:fill="FFFFFF"/>
            <w:vAlign w:val="center"/>
          </w:tcPr>
          <w:p w14:paraId="5B5BD866"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.078</w:t>
            </w:r>
            <w:r w:rsidRPr="00AA67B0">
              <w:rPr>
                <w:rFonts w:ascii="Times New Roman" w:eastAsia="Times New Roman" w:hAnsi="Times New Roman" w:cs="Times New Roman"/>
                <w:color w:val="000000" w:themeColor="text1"/>
                <w:sz w:val="20"/>
                <w:szCs w:val="20"/>
                <w:vertAlign w:val="superscript"/>
              </w:rPr>
              <w:t>*</w:t>
            </w:r>
          </w:p>
        </w:tc>
        <w:tc>
          <w:tcPr>
            <w:tcW w:w="810" w:type="dxa"/>
            <w:shd w:val="clear" w:color="auto" w:fill="FFFFFF"/>
            <w:vAlign w:val="center"/>
          </w:tcPr>
          <w:p w14:paraId="6D89A6E1"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.003</w:t>
            </w:r>
          </w:p>
        </w:tc>
        <w:tc>
          <w:tcPr>
            <w:tcW w:w="889" w:type="dxa"/>
            <w:shd w:val="clear" w:color="auto" w:fill="FFFFFF"/>
            <w:vAlign w:val="center"/>
          </w:tcPr>
          <w:p w14:paraId="54D4002C"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.048</w:t>
            </w:r>
          </w:p>
        </w:tc>
        <w:tc>
          <w:tcPr>
            <w:tcW w:w="810" w:type="dxa"/>
            <w:shd w:val="clear" w:color="auto" w:fill="FFFFFF"/>
            <w:vAlign w:val="center"/>
          </w:tcPr>
          <w:p w14:paraId="64176A54"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.006</w:t>
            </w:r>
          </w:p>
        </w:tc>
        <w:tc>
          <w:tcPr>
            <w:tcW w:w="810" w:type="dxa"/>
            <w:shd w:val="clear" w:color="auto" w:fill="FFFFFF"/>
            <w:vAlign w:val="center"/>
          </w:tcPr>
          <w:p w14:paraId="71570A41"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.121</w:t>
            </w:r>
            <w:r w:rsidRPr="00AA67B0">
              <w:rPr>
                <w:rFonts w:ascii="Times New Roman" w:eastAsia="Times New Roman" w:hAnsi="Times New Roman" w:cs="Times New Roman"/>
                <w:color w:val="000000" w:themeColor="text1"/>
                <w:sz w:val="20"/>
                <w:szCs w:val="20"/>
                <w:vertAlign w:val="superscript"/>
              </w:rPr>
              <w:t>**</w:t>
            </w:r>
          </w:p>
        </w:tc>
        <w:tc>
          <w:tcPr>
            <w:tcW w:w="810" w:type="dxa"/>
            <w:shd w:val="clear" w:color="auto" w:fill="FFFFFF"/>
            <w:vAlign w:val="center"/>
          </w:tcPr>
          <w:p w14:paraId="3331557A"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w:t>
            </w:r>
          </w:p>
        </w:tc>
        <w:tc>
          <w:tcPr>
            <w:tcW w:w="889" w:type="dxa"/>
            <w:shd w:val="clear" w:color="auto" w:fill="FFFFFF"/>
            <w:vAlign w:val="center"/>
          </w:tcPr>
          <w:p w14:paraId="06A8F886"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1B52DFEF"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55659097"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644" w:type="dxa"/>
            <w:shd w:val="clear" w:color="auto" w:fill="FFFFFF"/>
            <w:vAlign w:val="center"/>
          </w:tcPr>
          <w:p w14:paraId="3468D69C"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r>
      <w:tr w:rsidR="00EB56D6" w:rsidRPr="00AA67B0" w14:paraId="730C27D9" w14:textId="77777777">
        <w:trPr>
          <w:trHeight w:val="100"/>
        </w:trPr>
        <w:tc>
          <w:tcPr>
            <w:tcW w:w="2921" w:type="dxa"/>
            <w:shd w:val="clear" w:color="auto" w:fill="FFFFFF"/>
          </w:tcPr>
          <w:p w14:paraId="0C4AE140" w14:textId="77777777" w:rsidR="00EB56D6" w:rsidRPr="00AA67B0" w:rsidRDefault="004D1F5E">
            <w:pPr>
              <w:spacing w:after="0"/>
              <w:ind w:left="60" w:right="60"/>
              <w:rPr>
                <w:rFonts w:ascii="Times New Roman" w:eastAsia="Times New Roman" w:hAnsi="Times New Roman" w:cs="Times New Roman"/>
                <w:i/>
                <w:color w:val="000000" w:themeColor="text1"/>
                <w:sz w:val="20"/>
                <w:szCs w:val="20"/>
              </w:rPr>
            </w:pPr>
            <w:r w:rsidRPr="00AA67B0">
              <w:rPr>
                <w:rFonts w:ascii="Times New Roman" w:eastAsia="Times New Roman" w:hAnsi="Times New Roman" w:cs="Times New Roman"/>
                <w:i/>
                <w:color w:val="000000" w:themeColor="text1"/>
                <w:sz w:val="20"/>
                <w:szCs w:val="20"/>
              </w:rPr>
              <w:t>Sector of the Population Served</w:t>
            </w:r>
          </w:p>
        </w:tc>
        <w:tc>
          <w:tcPr>
            <w:tcW w:w="890" w:type="dxa"/>
            <w:shd w:val="clear" w:color="auto" w:fill="FFFFFF"/>
            <w:vAlign w:val="center"/>
          </w:tcPr>
          <w:p w14:paraId="2FB01151"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-.120</w:t>
            </w:r>
            <w:r w:rsidRPr="00AA67B0">
              <w:rPr>
                <w:rFonts w:ascii="Times New Roman" w:eastAsia="Times New Roman" w:hAnsi="Times New Roman" w:cs="Times New Roman"/>
                <w:color w:val="000000" w:themeColor="text1"/>
                <w:sz w:val="20"/>
                <w:szCs w:val="20"/>
                <w:vertAlign w:val="superscript"/>
              </w:rPr>
              <w:t>**</w:t>
            </w:r>
          </w:p>
        </w:tc>
        <w:tc>
          <w:tcPr>
            <w:tcW w:w="889" w:type="dxa"/>
            <w:shd w:val="clear" w:color="auto" w:fill="FFFFFF"/>
            <w:vAlign w:val="center"/>
          </w:tcPr>
          <w:p w14:paraId="10952BB1"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-.162</w:t>
            </w:r>
            <w:r w:rsidRPr="00AA67B0">
              <w:rPr>
                <w:rFonts w:ascii="Times New Roman" w:eastAsia="Times New Roman" w:hAnsi="Times New Roman" w:cs="Times New Roman"/>
                <w:color w:val="000000" w:themeColor="text1"/>
                <w:sz w:val="20"/>
                <w:szCs w:val="20"/>
                <w:vertAlign w:val="superscript"/>
              </w:rPr>
              <w:t>**</w:t>
            </w:r>
          </w:p>
        </w:tc>
        <w:tc>
          <w:tcPr>
            <w:tcW w:w="810" w:type="dxa"/>
            <w:shd w:val="clear" w:color="auto" w:fill="FFFFFF"/>
            <w:vAlign w:val="center"/>
          </w:tcPr>
          <w:p w14:paraId="45B9E1EB"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.102</w:t>
            </w:r>
            <w:r w:rsidRPr="00AA67B0">
              <w:rPr>
                <w:rFonts w:ascii="Times New Roman" w:eastAsia="Times New Roman" w:hAnsi="Times New Roman" w:cs="Times New Roman"/>
                <w:color w:val="000000" w:themeColor="text1"/>
                <w:sz w:val="20"/>
                <w:szCs w:val="20"/>
                <w:vertAlign w:val="superscript"/>
              </w:rPr>
              <w:t>**</w:t>
            </w:r>
          </w:p>
        </w:tc>
        <w:tc>
          <w:tcPr>
            <w:tcW w:w="731" w:type="dxa"/>
            <w:shd w:val="clear" w:color="auto" w:fill="FFFFFF"/>
            <w:vAlign w:val="center"/>
          </w:tcPr>
          <w:p w14:paraId="071CCC31"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.004</w:t>
            </w:r>
          </w:p>
        </w:tc>
        <w:tc>
          <w:tcPr>
            <w:tcW w:w="889" w:type="dxa"/>
            <w:shd w:val="clear" w:color="auto" w:fill="FFFFFF"/>
            <w:vAlign w:val="center"/>
          </w:tcPr>
          <w:p w14:paraId="76D222C7"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-.192</w:t>
            </w:r>
            <w:r w:rsidRPr="00AA67B0">
              <w:rPr>
                <w:rFonts w:ascii="Times New Roman" w:eastAsia="Times New Roman" w:hAnsi="Times New Roman" w:cs="Times New Roman"/>
                <w:color w:val="000000" w:themeColor="text1"/>
                <w:sz w:val="20"/>
                <w:szCs w:val="20"/>
                <w:vertAlign w:val="superscript"/>
              </w:rPr>
              <w:t>**</w:t>
            </w:r>
          </w:p>
        </w:tc>
        <w:tc>
          <w:tcPr>
            <w:tcW w:w="810" w:type="dxa"/>
            <w:shd w:val="clear" w:color="auto" w:fill="FFFFFF"/>
            <w:vAlign w:val="center"/>
          </w:tcPr>
          <w:p w14:paraId="768D2839"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-.031</w:t>
            </w:r>
          </w:p>
        </w:tc>
        <w:tc>
          <w:tcPr>
            <w:tcW w:w="889" w:type="dxa"/>
            <w:shd w:val="clear" w:color="auto" w:fill="FFFFFF"/>
            <w:vAlign w:val="center"/>
          </w:tcPr>
          <w:p w14:paraId="204CFD55"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-.121</w:t>
            </w:r>
            <w:r w:rsidRPr="00AA67B0">
              <w:rPr>
                <w:rFonts w:ascii="Times New Roman" w:eastAsia="Times New Roman" w:hAnsi="Times New Roman" w:cs="Times New Roman"/>
                <w:color w:val="000000" w:themeColor="text1"/>
                <w:sz w:val="20"/>
                <w:szCs w:val="20"/>
                <w:vertAlign w:val="superscript"/>
              </w:rPr>
              <w:t>**</w:t>
            </w:r>
          </w:p>
        </w:tc>
        <w:tc>
          <w:tcPr>
            <w:tcW w:w="810" w:type="dxa"/>
            <w:shd w:val="clear" w:color="auto" w:fill="FFFFFF"/>
            <w:vAlign w:val="center"/>
          </w:tcPr>
          <w:p w14:paraId="449F6BA3"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.058</w:t>
            </w:r>
          </w:p>
        </w:tc>
        <w:tc>
          <w:tcPr>
            <w:tcW w:w="810" w:type="dxa"/>
            <w:shd w:val="clear" w:color="auto" w:fill="FFFFFF"/>
            <w:vAlign w:val="center"/>
          </w:tcPr>
          <w:p w14:paraId="32F12A2D"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-.020</w:t>
            </w:r>
          </w:p>
        </w:tc>
        <w:tc>
          <w:tcPr>
            <w:tcW w:w="810" w:type="dxa"/>
            <w:shd w:val="clear" w:color="auto" w:fill="FFFFFF"/>
            <w:vAlign w:val="center"/>
          </w:tcPr>
          <w:p w14:paraId="68EBD1A5"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.037</w:t>
            </w:r>
          </w:p>
        </w:tc>
        <w:tc>
          <w:tcPr>
            <w:tcW w:w="889" w:type="dxa"/>
            <w:shd w:val="clear" w:color="auto" w:fill="FFFFFF"/>
            <w:vAlign w:val="center"/>
          </w:tcPr>
          <w:p w14:paraId="39D683DA"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w:t>
            </w:r>
          </w:p>
        </w:tc>
        <w:tc>
          <w:tcPr>
            <w:tcW w:w="889" w:type="dxa"/>
            <w:shd w:val="clear" w:color="auto" w:fill="FFFFFF"/>
            <w:vAlign w:val="center"/>
          </w:tcPr>
          <w:p w14:paraId="758D2506"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889" w:type="dxa"/>
            <w:shd w:val="clear" w:color="auto" w:fill="FFFFFF"/>
            <w:vAlign w:val="center"/>
          </w:tcPr>
          <w:p w14:paraId="42D2476C"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644" w:type="dxa"/>
            <w:shd w:val="clear" w:color="auto" w:fill="FFFFFF"/>
            <w:vAlign w:val="center"/>
          </w:tcPr>
          <w:p w14:paraId="180AD7F9"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r>
      <w:tr w:rsidR="00EB56D6" w:rsidRPr="00AA67B0" w14:paraId="1FB3AC58" w14:textId="77777777">
        <w:trPr>
          <w:trHeight w:val="100"/>
        </w:trPr>
        <w:tc>
          <w:tcPr>
            <w:tcW w:w="2921" w:type="dxa"/>
            <w:shd w:val="clear" w:color="auto" w:fill="FFFFFF"/>
          </w:tcPr>
          <w:p w14:paraId="3461991B" w14:textId="77777777" w:rsidR="00EB56D6" w:rsidRPr="00AA67B0" w:rsidRDefault="004D1F5E">
            <w:pPr>
              <w:spacing w:after="0"/>
              <w:ind w:left="60" w:right="60"/>
              <w:rPr>
                <w:rFonts w:ascii="Times New Roman" w:eastAsia="Times New Roman" w:hAnsi="Times New Roman" w:cs="Times New Roman"/>
                <w:i/>
                <w:color w:val="000000" w:themeColor="text1"/>
                <w:sz w:val="20"/>
                <w:szCs w:val="20"/>
              </w:rPr>
            </w:pPr>
            <w:r w:rsidRPr="00AA67B0">
              <w:rPr>
                <w:rFonts w:ascii="Times New Roman" w:eastAsia="Times New Roman" w:hAnsi="Times New Roman" w:cs="Times New Roman"/>
                <w:i/>
                <w:color w:val="000000" w:themeColor="text1"/>
                <w:sz w:val="20"/>
                <w:szCs w:val="20"/>
              </w:rPr>
              <w:t xml:space="preserve">Full-time or Part-time </w:t>
            </w:r>
          </w:p>
        </w:tc>
        <w:tc>
          <w:tcPr>
            <w:tcW w:w="890" w:type="dxa"/>
            <w:shd w:val="clear" w:color="auto" w:fill="FFFFFF"/>
            <w:vAlign w:val="center"/>
          </w:tcPr>
          <w:p w14:paraId="1F3B8298"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.087</w:t>
            </w:r>
            <w:r w:rsidRPr="00AA67B0">
              <w:rPr>
                <w:rFonts w:ascii="Times New Roman" w:eastAsia="Times New Roman" w:hAnsi="Times New Roman" w:cs="Times New Roman"/>
                <w:color w:val="000000" w:themeColor="text1"/>
                <w:sz w:val="20"/>
                <w:szCs w:val="20"/>
                <w:vertAlign w:val="superscript"/>
              </w:rPr>
              <w:t>**</w:t>
            </w:r>
          </w:p>
        </w:tc>
        <w:tc>
          <w:tcPr>
            <w:tcW w:w="889" w:type="dxa"/>
            <w:shd w:val="clear" w:color="auto" w:fill="FFFFFF"/>
            <w:vAlign w:val="center"/>
          </w:tcPr>
          <w:p w14:paraId="490DB645"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.153</w:t>
            </w:r>
            <w:r w:rsidRPr="00AA67B0">
              <w:rPr>
                <w:rFonts w:ascii="Times New Roman" w:eastAsia="Times New Roman" w:hAnsi="Times New Roman" w:cs="Times New Roman"/>
                <w:color w:val="000000" w:themeColor="text1"/>
                <w:sz w:val="20"/>
                <w:szCs w:val="20"/>
                <w:vertAlign w:val="superscript"/>
              </w:rPr>
              <w:t>**</w:t>
            </w:r>
          </w:p>
        </w:tc>
        <w:tc>
          <w:tcPr>
            <w:tcW w:w="810" w:type="dxa"/>
            <w:shd w:val="clear" w:color="auto" w:fill="FFFFFF"/>
            <w:vAlign w:val="center"/>
          </w:tcPr>
          <w:p w14:paraId="2E163F9F"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.002</w:t>
            </w:r>
          </w:p>
        </w:tc>
        <w:tc>
          <w:tcPr>
            <w:tcW w:w="731" w:type="dxa"/>
            <w:shd w:val="clear" w:color="auto" w:fill="FFFFFF"/>
            <w:vAlign w:val="center"/>
          </w:tcPr>
          <w:p w14:paraId="26938656"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-.037</w:t>
            </w:r>
          </w:p>
        </w:tc>
        <w:tc>
          <w:tcPr>
            <w:tcW w:w="889" w:type="dxa"/>
            <w:shd w:val="clear" w:color="auto" w:fill="FFFFFF"/>
            <w:vAlign w:val="center"/>
          </w:tcPr>
          <w:p w14:paraId="04956757"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.166</w:t>
            </w:r>
            <w:r w:rsidRPr="00AA67B0">
              <w:rPr>
                <w:rFonts w:ascii="Times New Roman" w:eastAsia="Times New Roman" w:hAnsi="Times New Roman" w:cs="Times New Roman"/>
                <w:color w:val="000000" w:themeColor="text1"/>
                <w:sz w:val="20"/>
                <w:szCs w:val="20"/>
                <w:vertAlign w:val="superscript"/>
              </w:rPr>
              <w:t>**</w:t>
            </w:r>
          </w:p>
        </w:tc>
        <w:tc>
          <w:tcPr>
            <w:tcW w:w="810" w:type="dxa"/>
            <w:shd w:val="clear" w:color="auto" w:fill="FFFFFF"/>
            <w:vAlign w:val="center"/>
          </w:tcPr>
          <w:p w14:paraId="72AA1CC4"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.070</w:t>
            </w:r>
            <w:r w:rsidRPr="00AA67B0">
              <w:rPr>
                <w:rFonts w:ascii="Times New Roman" w:eastAsia="Times New Roman" w:hAnsi="Times New Roman" w:cs="Times New Roman"/>
                <w:color w:val="000000" w:themeColor="text1"/>
                <w:sz w:val="20"/>
                <w:szCs w:val="20"/>
                <w:vertAlign w:val="superscript"/>
              </w:rPr>
              <w:t>*</w:t>
            </w:r>
          </w:p>
        </w:tc>
        <w:tc>
          <w:tcPr>
            <w:tcW w:w="889" w:type="dxa"/>
            <w:shd w:val="clear" w:color="auto" w:fill="FFFFFF"/>
            <w:vAlign w:val="center"/>
          </w:tcPr>
          <w:p w14:paraId="031E72D5"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.069</w:t>
            </w:r>
            <w:r w:rsidRPr="00AA67B0">
              <w:rPr>
                <w:rFonts w:ascii="Times New Roman" w:eastAsia="Times New Roman" w:hAnsi="Times New Roman" w:cs="Times New Roman"/>
                <w:color w:val="000000" w:themeColor="text1"/>
                <w:sz w:val="20"/>
                <w:szCs w:val="20"/>
                <w:vertAlign w:val="superscript"/>
              </w:rPr>
              <w:t>*</w:t>
            </w:r>
          </w:p>
        </w:tc>
        <w:tc>
          <w:tcPr>
            <w:tcW w:w="810" w:type="dxa"/>
            <w:shd w:val="clear" w:color="auto" w:fill="FFFFFF"/>
            <w:vAlign w:val="center"/>
          </w:tcPr>
          <w:p w14:paraId="422810F2"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.103</w:t>
            </w:r>
            <w:r w:rsidRPr="00AA67B0">
              <w:rPr>
                <w:rFonts w:ascii="Times New Roman" w:eastAsia="Times New Roman" w:hAnsi="Times New Roman" w:cs="Times New Roman"/>
                <w:color w:val="000000" w:themeColor="text1"/>
                <w:sz w:val="20"/>
                <w:szCs w:val="20"/>
                <w:vertAlign w:val="superscript"/>
              </w:rPr>
              <w:t>**</w:t>
            </w:r>
          </w:p>
        </w:tc>
        <w:tc>
          <w:tcPr>
            <w:tcW w:w="810" w:type="dxa"/>
            <w:shd w:val="clear" w:color="auto" w:fill="FFFFFF"/>
            <w:vAlign w:val="center"/>
          </w:tcPr>
          <w:p w14:paraId="161EFD45"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.041</w:t>
            </w:r>
          </w:p>
        </w:tc>
        <w:tc>
          <w:tcPr>
            <w:tcW w:w="810" w:type="dxa"/>
            <w:shd w:val="clear" w:color="auto" w:fill="FFFFFF"/>
            <w:vAlign w:val="center"/>
          </w:tcPr>
          <w:p w14:paraId="3DE6F305"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-.002</w:t>
            </w:r>
          </w:p>
        </w:tc>
        <w:tc>
          <w:tcPr>
            <w:tcW w:w="889" w:type="dxa"/>
            <w:shd w:val="clear" w:color="auto" w:fill="FFFFFF"/>
            <w:vAlign w:val="center"/>
          </w:tcPr>
          <w:p w14:paraId="6005CE12"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-.198</w:t>
            </w:r>
            <w:r w:rsidRPr="00AA67B0">
              <w:rPr>
                <w:rFonts w:ascii="Times New Roman" w:eastAsia="Times New Roman" w:hAnsi="Times New Roman" w:cs="Times New Roman"/>
                <w:color w:val="000000" w:themeColor="text1"/>
                <w:sz w:val="20"/>
                <w:szCs w:val="20"/>
                <w:vertAlign w:val="superscript"/>
              </w:rPr>
              <w:t>**</w:t>
            </w:r>
          </w:p>
        </w:tc>
        <w:tc>
          <w:tcPr>
            <w:tcW w:w="889" w:type="dxa"/>
            <w:shd w:val="clear" w:color="auto" w:fill="FFFFFF"/>
            <w:vAlign w:val="center"/>
          </w:tcPr>
          <w:p w14:paraId="59BF7EC6"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w:t>
            </w:r>
          </w:p>
        </w:tc>
        <w:tc>
          <w:tcPr>
            <w:tcW w:w="889" w:type="dxa"/>
            <w:shd w:val="clear" w:color="auto" w:fill="FFFFFF"/>
            <w:vAlign w:val="center"/>
          </w:tcPr>
          <w:p w14:paraId="226F63E6"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c>
          <w:tcPr>
            <w:tcW w:w="644" w:type="dxa"/>
            <w:shd w:val="clear" w:color="auto" w:fill="FFFFFF"/>
            <w:vAlign w:val="center"/>
          </w:tcPr>
          <w:p w14:paraId="26582C99"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r>
      <w:tr w:rsidR="00EB56D6" w:rsidRPr="00AA67B0" w14:paraId="37296B40" w14:textId="77777777">
        <w:trPr>
          <w:trHeight w:val="100"/>
        </w:trPr>
        <w:tc>
          <w:tcPr>
            <w:tcW w:w="2921" w:type="dxa"/>
            <w:shd w:val="clear" w:color="auto" w:fill="FFFFFF"/>
          </w:tcPr>
          <w:p w14:paraId="4AE77FBD" w14:textId="77777777" w:rsidR="00EB56D6" w:rsidRPr="00AA67B0" w:rsidRDefault="004D1F5E">
            <w:pPr>
              <w:spacing w:after="0"/>
              <w:ind w:left="60" w:right="60"/>
              <w:rPr>
                <w:rFonts w:ascii="Times New Roman" w:eastAsia="Times New Roman" w:hAnsi="Times New Roman" w:cs="Times New Roman"/>
                <w:i/>
                <w:color w:val="000000" w:themeColor="text1"/>
                <w:sz w:val="20"/>
                <w:szCs w:val="20"/>
              </w:rPr>
            </w:pPr>
            <w:r w:rsidRPr="00AA67B0">
              <w:rPr>
                <w:rFonts w:ascii="Times New Roman" w:eastAsia="Times New Roman" w:hAnsi="Times New Roman" w:cs="Times New Roman"/>
                <w:i/>
                <w:color w:val="000000" w:themeColor="text1"/>
                <w:sz w:val="20"/>
                <w:szCs w:val="20"/>
              </w:rPr>
              <w:t>Seniority at Work</w:t>
            </w:r>
          </w:p>
        </w:tc>
        <w:tc>
          <w:tcPr>
            <w:tcW w:w="890" w:type="dxa"/>
            <w:shd w:val="clear" w:color="auto" w:fill="FFFFFF"/>
            <w:vAlign w:val="center"/>
          </w:tcPr>
          <w:p w14:paraId="2E1C5259"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.035</w:t>
            </w:r>
          </w:p>
        </w:tc>
        <w:tc>
          <w:tcPr>
            <w:tcW w:w="889" w:type="dxa"/>
            <w:shd w:val="clear" w:color="auto" w:fill="FFFFFF"/>
            <w:vAlign w:val="center"/>
          </w:tcPr>
          <w:p w14:paraId="0F8FEE43"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-.042</w:t>
            </w:r>
          </w:p>
        </w:tc>
        <w:tc>
          <w:tcPr>
            <w:tcW w:w="810" w:type="dxa"/>
            <w:shd w:val="clear" w:color="auto" w:fill="FFFFFF"/>
            <w:vAlign w:val="center"/>
          </w:tcPr>
          <w:p w14:paraId="1FB43039"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.001</w:t>
            </w:r>
          </w:p>
        </w:tc>
        <w:tc>
          <w:tcPr>
            <w:tcW w:w="731" w:type="dxa"/>
            <w:shd w:val="clear" w:color="auto" w:fill="FFFFFF"/>
            <w:vAlign w:val="center"/>
          </w:tcPr>
          <w:p w14:paraId="5EAAB0CE"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-.012</w:t>
            </w:r>
          </w:p>
        </w:tc>
        <w:tc>
          <w:tcPr>
            <w:tcW w:w="889" w:type="dxa"/>
            <w:shd w:val="clear" w:color="auto" w:fill="FFFFFF"/>
            <w:vAlign w:val="center"/>
          </w:tcPr>
          <w:p w14:paraId="554DAE38"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.604</w:t>
            </w:r>
            <w:r w:rsidRPr="00AA67B0">
              <w:rPr>
                <w:rFonts w:ascii="Times New Roman" w:eastAsia="Times New Roman" w:hAnsi="Times New Roman" w:cs="Times New Roman"/>
                <w:color w:val="000000" w:themeColor="text1"/>
                <w:sz w:val="20"/>
                <w:szCs w:val="20"/>
                <w:vertAlign w:val="superscript"/>
              </w:rPr>
              <w:t>**</w:t>
            </w:r>
          </w:p>
        </w:tc>
        <w:tc>
          <w:tcPr>
            <w:tcW w:w="810" w:type="dxa"/>
            <w:shd w:val="clear" w:color="auto" w:fill="FFFFFF"/>
            <w:vAlign w:val="center"/>
          </w:tcPr>
          <w:p w14:paraId="20217CF4"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.058</w:t>
            </w:r>
          </w:p>
        </w:tc>
        <w:tc>
          <w:tcPr>
            <w:tcW w:w="889" w:type="dxa"/>
            <w:shd w:val="clear" w:color="auto" w:fill="FFFFFF"/>
            <w:vAlign w:val="center"/>
          </w:tcPr>
          <w:p w14:paraId="3FC3519E"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.302</w:t>
            </w:r>
            <w:r w:rsidRPr="00AA67B0">
              <w:rPr>
                <w:rFonts w:ascii="Times New Roman" w:eastAsia="Times New Roman" w:hAnsi="Times New Roman" w:cs="Times New Roman"/>
                <w:color w:val="000000" w:themeColor="text1"/>
                <w:sz w:val="20"/>
                <w:szCs w:val="20"/>
                <w:vertAlign w:val="superscript"/>
              </w:rPr>
              <w:t>**</w:t>
            </w:r>
          </w:p>
        </w:tc>
        <w:tc>
          <w:tcPr>
            <w:tcW w:w="810" w:type="dxa"/>
            <w:shd w:val="clear" w:color="auto" w:fill="FFFFFF"/>
            <w:vAlign w:val="center"/>
          </w:tcPr>
          <w:p w14:paraId="431EDDFC"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.329</w:t>
            </w:r>
            <w:r w:rsidRPr="00AA67B0">
              <w:rPr>
                <w:rFonts w:ascii="Times New Roman" w:eastAsia="Times New Roman" w:hAnsi="Times New Roman" w:cs="Times New Roman"/>
                <w:color w:val="000000" w:themeColor="text1"/>
                <w:sz w:val="20"/>
                <w:szCs w:val="20"/>
                <w:vertAlign w:val="superscript"/>
              </w:rPr>
              <w:t>**</w:t>
            </w:r>
          </w:p>
        </w:tc>
        <w:tc>
          <w:tcPr>
            <w:tcW w:w="810" w:type="dxa"/>
            <w:shd w:val="clear" w:color="auto" w:fill="FFFFFF"/>
            <w:vAlign w:val="center"/>
          </w:tcPr>
          <w:p w14:paraId="1236E03F"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.018</w:t>
            </w:r>
          </w:p>
        </w:tc>
        <w:tc>
          <w:tcPr>
            <w:tcW w:w="810" w:type="dxa"/>
            <w:shd w:val="clear" w:color="auto" w:fill="FFFFFF"/>
            <w:vAlign w:val="center"/>
          </w:tcPr>
          <w:p w14:paraId="5E45803D"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.102</w:t>
            </w:r>
            <w:r w:rsidRPr="00AA67B0">
              <w:rPr>
                <w:rFonts w:ascii="Times New Roman" w:eastAsia="Times New Roman" w:hAnsi="Times New Roman" w:cs="Times New Roman"/>
                <w:color w:val="000000" w:themeColor="text1"/>
                <w:sz w:val="20"/>
                <w:szCs w:val="20"/>
                <w:vertAlign w:val="superscript"/>
              </w:rPr>
              <w:t>**</w:t>
            </w:r>
          </w:p>
        </w:tc>
        <w:tc>
          <w:tcPr>
            <w:tcW w:w="889" w:type="dxa"/>
            <w:shd w:val="clear" w:color="auto" w:fill="FFFFFF"/>
            <w:vAlign w:val="center"/>
          </w:tcPr>
          <w:p w14:paraId="2B559C92"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-.192</w:t>
            </w:r>
            <w:r w:rsidRPr="00AA67B0">
              <w:rPr>
                <w:rFonts w:ascii="Times New Roman" w:eastAsia="Times New Roman" w:hAnsi="Times New Roman" w:cs="Times New Roman"/>
                <w:color w:val="000000" w:themeColor="text1"/>
                <w:sz w:val="20"/>
                <w:szCs w:val="20"/>
                <w:vertAlign w:val="superscript"/>
              </w:rPr>
              <w:t>**</w:t>
            </w:r>
          </w:p>
        </w:tc>
        <w:tc>
          <w:tcPr>
            <w:tcW w:w="889" w:type="dxa"/>
            <w:shd w:val="clear" w:color="auto" w:fill="FFFFFF"/>
            <w:vAlign w:val="center"/>
          </w:tcPr>
          <w:p w14:paraId="0E6462E9"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.176</w:t>
            </w:r>
            <w:r w:rsidRPr="00AA67B0">
              <w:rPr>
                <w:rFonts w:ascii="Times New Roman" w:eastAsia="Times New Roman" w:hAnsi="Times New Roman" w:cs="Times New Roman"/>
                <w:color w:val="000000" w:themeColor="text1"/>
                <w:sz w:val="20"/>
                <w:szCs w:val="20"/>
                <w:vertAlign w:val="superscript"/>
              </w:rPr>
              <w:t>**</w:t>
            </w:r>
          </w:p>
        </w:tc>
        <w:tc>
          <w:tcPr>
            <w:tcW w:w="889" w:type="dxa"/>
            <w:shd w:val="clear" w:color="auto" w:fill="FFFFFF"/>
            <w:vAlign w:val="center"/>
          </w:tcPr>
          <w:p w14:paraId="3C333E44"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w:t>
            </w:r>
          </w:p>
        </w:tc>
        <w:tc>
          <w:tcPr>
            <w:tcW w:w="644" w:type="dxa"/>
            <w:shd w:val="clear" w:color="auto" w:fill="FFFFFF"/>
            <w:vAlign w:val="center"/>
          </w:tcPr>
          <w:p w14:paraId="14E88455" w14:textId="77777777" w:rsidR="00EB56D6" w:rsidRPr="00AA67B0" w:rsidRDefault="00EB56D6">
            <w:pPr>
              <w:spacing w:after="0"/>
              <w:ind w:left="60" w:right="60"/>
              <w:jc w:val="center"/>
              <w:rPr>
                <w:rFonts w:ascii="Times New Roman" w:eastAsia="Times New Roman" w:hAnsi="Times New Roman" w:cs="Times New Roman"/>
                <w:color w:val="000000" w:themeColor="text1"/>
                <w:sz w:val="20"/>
                <w:szCs w:val="20"/>
              </w:rPr>
            </w:pPr>
          </w:p>
        </w:tc>
      </w:tr>
      <w:tr w:rsidR="00EB56D6" w:rsidRPr="00AA67B0" w14:paraId="7BB06213" w14:textId="77777777">
        <w:trPr>
          <w:trHeight w:val="100"/>
        </w:trPr>
        <w:tc>
          <w:tcPr>
            <w:tcW w:w="2921" w:type="dxa"/>
            <w:tcBorders>
              <w:bottom w:val="single" w:sz="4" w:space="0" w:color="000000"/>
            </w:tcBorders>
            <w:shd w:val="clear" w:color="auto" w:fill="FFFFFF"/>
          </w:tcPr>
          <w:p w14:paraId="4B043CD5" w14:textId="77777777" w:rsidR="00EB56D6" w:rsidRPr="00AA67B0" w:rsidRDefault="004D1F5E">
            <w:pPr>
              <w:spacing w:after="0"/>
              <w:ind w:left="60" w:right="60"/>
              <w:rPr>
                <w:rFonts w:ascii="Times New Roman" w:eastAsia="Times New Roman" w:hAnsi="Times New Roman" w:cs="Times New Roman"/>
                <w:i/>
                <w:color w:val="000000" w:themeColor="text1"/>
                <w:sz w:val="20"/>
                <w:szCs w:val="20"/>
              </w:rPr>
            </w:pPr>
            <w:r w:rsidRPr="00AA67B0">
              <w:rPr>
                <w:rFonts w:ascii="Times New Roman" w:eastAsia="Times New Roman" w:hAnsi="Times New Roman" w:cs="Times New Roman"/>
                <w:i/>
                <w:color w:val="000000" w:themeColor="text1"/>
                <w:sz w:val="20"/>
                <w:szCs w:val="20"/>
              </w:rPr>
              <w:t>Work Sector</w:t>
            </w:r>
          </w:p>
        </w:tc>
        <w:tc>
          <w:tcPr>
            <w:tcW w:w="890" w:type="dxa"/>
            <w:tcBorders>
              <w:bottom w:val="single" w:sz="4" w:space="0" w:color="000000"/>
            </w:tcBorders>
            <w:shd w:val="clear" w:color="auto" w:fill="FFFFFF"/>
            <w:vAlign w:val="center"/>
          </w:tcPr>
          <w:p w14:paraId="7C9E9543"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-.051</w:t>
            </w:r>
          </w:p>
        </w:tc>
        <w:tc>
          <w:tcPr>
            <w:tcW w:w="889" w:type="dxa"/>
            <w:tcBorders>
              <w:bottom w:val="single" w:sz="4" w:space="0" w:color="000000"/>
            </w:tcBorders>
            <w:shd w:val="clear" w:color="auto" w:fill="FFFFFF"/>
            <w:vAlign w:val="center"/>
          </w:tcPr>
          <w:p w14:paraId="6AD11C08"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-.113</w:t>
            </w:r>
            <w:r w:rsidRPr="00AA67B0">
              <w:rPr>
                <w:rFonts w:ascii="Times New Roman" w:eastAsia="Times New Roman" w:hAnsi="Times New Roman" w:cs="Times New Roman"/>
                <w:color w:val="000000" w:themeColor="text1"/>
                <w:sz w:val="20"/>
                <w:szCs w:val="20"/>
                <w:vertAlign w:val="superscript"/>
              </w:rPr>
              <w:t>**</w:t>
            </w:r>
          </w:p>
        </w:tc>
        <w:tc>
          <w:tcPr>
            <w:tcW w:w="810" w:type="dxa"/>
            <w:tcBorders>
              <w:bottom w:val="single" w:sz="4" w:space="0" w:color="000000"/>
            </w:tcBorders>
            <w:shd w:val="clear" w:color="auto" w:fill="FFFFFF"/>
            <w:vAlign w:val="center"/>
          </w:tcPr>
          <w:p w14:paraId="732D3FF0"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.111</w:t>
            </w:r>
            <w:r w:rsidRPr="00AA67B0">
              <w:rPr>
                <w:rFonts w:ascii="Times New Roman" w:eastAsia="Times New Roman" w:hAnsi="Times New Roman" w:cs="Times New Roman"/>
                <w:color w:val="000000" w:themeColor="text1"/>
                <w:sz w:val="20"/>
                <w:szCs w:val="20"/>
                <w:vertAlign w:val="superscript"/>
              </w:rPr>
              <w:t>**</w:t>
            </w:r>
          </w:p>
        </w:tc>
        <w:tc>
          <w:tcPr>
            <w:tcW w:w="731" w:type="dxa"/>
            <w:tcBorders>
              <w:bottom w:val="single" w:sz="4" w:space="0" w:color="000000"/>
            </w:tcBorders>
            <w:shd w:val="clear" w:color="auto" w:fill="FFFFFF"/>
            <w:vAlign w:val="center"/>
          </w:tcPr>
          <w:p w14:paraId="29FABCB8"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.009</w:t>
            </w:r>
          </w:p>
        </w:tc>
        <w:tc>
          <w:tcPr>
            <w:tcW w:w="889" w:type="dxa"/>
            <w:tcBorders>
              <w:bottom w:val="single" w:sz="4" w:space="0" w:color="000000"/>
            </w:tcBorders>
            <w:shd w:val="clear" w:color="auto" w:fill="FFFFFF"/>
            <w:vAlign w:val="center"/>
          </w:tcPr>
          <w:p w14:paraId="1326B34A"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-.329</w:t>
            </w:r>
            <w:r w:rsidRPr="00AA67B0">
              <w:rPr>
                <w:rFonts w:ascii="Times New Roman" w:eastAsia="Times New Roman" w:hAnsi="Times New Roman" w:cs="Times New Roman"/>
                <w:color w:val="000000" w:themeColor="text1"/>
                <w:sz w:val="20"/>
                <w:szCs w:val="20"/>
                <w:vertAlign w:val="superscript"/>
              </w:rPr>
              <w:t>**</w:t>
            </w:r>
          </w:p>
        </w:tc>
        <w:tc>
          <w:tcPr>
            <w:tcW w:w="810" w:type="dxa"/>
            <w:tcBorders>
              <w:bottom w:val="single" w:sz="4" w:space="0" w:color="000000"/>
            </w:tcBorders>
            <w:shd w:val="clear" w:color="auto" w:fill="FFFFFF"/>
            <w:vAlign w:val="center"/>
          </w:tcPr>
          <w:p w14:paraId="4EB8EC8F"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-.043</w:t>
            </w:r>
          </w:p>
        </w:tc>
        <w:tc>
          <w:tcPr>
            <w:tcW w:w="889" w:type="dxa"/>
            <w:tcBorders>
              <w:bottom w:val="single" w:sz="4" w:space="0" w:color="000000"/>
            </w:tcBorders>
            <w:shd w:val="clear" w:color="auto" w:fill="FFFFFF"/>
            <w:vAlign w:val="center"/>
          </w:tcPr>
          <w:p w14:paraId="2757F926"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-.201</w:t>
            </w:r>
            <w:r w:rsidRPr="00AA67B0">
              <w:rPr>
                <w:rFonts w:ascii="Times New Roman" w:eastAsia="Times New Roman" w:hAnsi="Times New Roman" w:cs="Times New Roman"/>
                <w:color w:val="000000" w:themeColor="text1"/>
                <w:sz w:val="20"/>
                <w:szCs w:val="20"/>
                <w:vertAlign w:val="superscript"/>
              </w:rPr>
              <w:t>**</w:t>
            </w:r>
          </w:p>
        </w:tc>
        <w:tc>
          <w:tcPr>
            <w:tcW w:w="810" w:type="dxa"/>
            <w:tcBorders>
              <w:bottom w:val="single" w:sz="4" w:space="0" w:color="000000"/>
            </w:tcBorders>
            <w:shd w:val="clear" w:color="auto" w:fill="FFFFFF"/>
            <w:vAlign w:val="center"/>
          </w:tcPr>
          <w:p w14:paraId="74FE006B"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.166</w:t>
            </w:r>
            <w:r w:rsidRPr="00AA67B0">
              <w:rPr>
                <w:rFonts w:ascii="Times New Roman" w:eastAsia="Times New Roman" w:hAnsi="Times New Roman" w:cs="Times New Roman"/>
                <w:color w:val="000000" w:themeColor="text1"/>
                <w:sz w:val="20"/>
                <w:szCs w:val="20"/>
                <w:vertAlign w:val="superscript"/>
              </w:rPr>
              <w:t>**</w:t>
            </w:r>
          </w:p>
        </w:tc>
        <w:tc>
          <w:tcPr>
            <w:tcW w:w="810" w:type="dxa"/>
            <w:tcBorders>
              <w:bottom w:val="single" w:sz="4" w:space="0" w:color="000000"/>
            </w:tcBorders>
            <w:shd w:val="clear" w:color="auto" w:fill="FFFFFF"/>
            <w:vAlign w:val="center"/>
          </w:tcPr>
          <w:p w14:paraId="4F62EC00"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-.002</w:t>
            </w:r>
          </w:p>
        </w:tc>
        <w:tc>
          <w:tcPr>
            <w:tcW w:w="810" w:type="dxa"/>
            <w:tcBorders>
              <w:bottom w:val="single" w:sz="4" w:space="0" w:color="000000"/>
            </w:tcBorders>
            <w:shd w:val="clear" w:color="auto" w:fill="FFFFFF"/>
            <w:vAlign w:val="center"/>
          </w:tcPr>
          <w:p w14:paraId="2104A1D4"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-.022</w:t>
            </w:r>
          </w:p>
        </w:tc>
        <w:tc>
          <w:tcPr>
            <w:tcW w:w="889" w:type="dxa"/>
            <w:tcBorders>
              <w:bottom w:val="single" w:sz="4" w:space="0" w:color="000000"/>
            </w:tcBorders>
            <w:shd w:val="clear" w:color="auto" w:fill="FFFFFF"/>
            <w:vAlign w:val="center"/>
          </w:tcPr>
          <w:p w14:paraId="49C11616"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.407</w:t>
            </w:r>
            <w:r w:rsidRPr="00AA67B0">
              <w:rPr>
                <w:rFonts w:ascii="Times New Roman" w:eastAsia="Times New Roman" w:hAnsi="Times New Roman" w:cs="Times New Roman"/>
                <w:color w:val="000000" w:themeColor="text1"/>
                <w:sz w:val="20"/>
                <w:szCs w:val="20"/>
                <w:vertAlign w:val="superscript"/>
              </w:rPr>
              <w:t>**</w:t>
            </w:r>
          </w:p>
        </w:tc>
        <w:tc>
          <w:tcPr>
            <w:tcW w:w="889" w:type="dxa"/>
            <w:tcBorders>
              <w:bottom w:val="single" w:sz="4" w:space="0" w:color="000000"/>
            </w:tcBorders>
            <w:shd w:val="clear" w:color="auto" w:fill="FFFFFF"/>
            <w:vAlign w:val="center"/>
          </w:tcPr>
          <w:p w14:paraId="0F791C31"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-.302</w:t>
            </w:r>
            <w:r w:rsidRPr="00AA67B0">
              <w:rPr>
                <w:rFonts w:ascii="Times New Roman" w:eastAsia="Times New Roman" w:hAnsi="Times New Roman" w:cs="Times New Roman"/>
                <w:color w:val="000000" w:themeColor="text1"/>
                <w:sz w:val="20"/>
                <w:szCs w:val="20"/>
                <w:vertAlign w:val="superscript"/>
              </w:rPr>
              <w:t>**</w:t>
            </w:r>
          </w:p>
        </w:tc>
        <w:tc>
          <w:tcPr>
            <w:tcW w:w="889" w:type="dxa"/>
            <w:tcBorders>
              <w:bottom w:val="single" w:sz="4" w:space="0" w:color="000000"/>
            </w:tcBorders>
            <w:shd w:val="clear" w:color="auto" w:fill="FFFFFF"/>
            <w:vAlign w:val="center"/>
          </w:tcPr>
          <w:p w14:paraId="343B413E"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-.254</w:t>
            </w:r>
            <w:r w:rsidRPr="00AA67B0">
              <w:rPr>
                <w:rFonts w:ascii="Times New Roman" w:eastAsia="Times New Roman" w:hAnsi="Times New Roman" w:cs="Times New Roman"/>
                <w:color w:val="000000" w:themeColor="text1"/>
                <w:sz w:val="20"/>
                <w:szCs w:val="20"/>
                <w:vertAlign w:val="superscript"/>
              </w:rPr>
              <w:t>**</w:t>
            </w:r>
          </w:p>
        </w:tc>
        <w:tc>
          <w:tcPr>
            <w:tcW w:w="644" w:type="dxa"/>
            <w:tcBorders>
              <w:bottom w:val="single" w:sz="4" w:space="0" w:color="000000"/>
            </w:tcBorders>
            <w:shd w:val="clear" w:color="auto" w:fill="FFFFFF"/>
            <w:vAlign w:val="center"/>
          </w:tcPr>
          <w:p w14:paraId="6042BF43" w14:textId="77777777" w:rsidR="00EB56D6" w:rsidRPr="00AA67B0" w:rsidRDefault="004D1F5E">
            <w:pPr>
              <w:spacing w:after="0"/>
              <w:ind w:left="60" w:right="60"/>
              <w:jc w:val="center"/>
              <w:rPr>
                <w:rFonts w:ascii="Times New Roman" w:eastAsia="Times New Roman" w:hAnsi="Times New Roman" w:cs="Times New Roman"/>
                <w:color w:val="000000" w:themeColor="text1"/>
                <w:sz w:val="20"/>
                <w:szCs w:val="20"/>
              </w:rPr>
            </w:pPr>
            <w:r w:rsidRPr="00AA67B0">
              <w:rPr>
                <w:rFonts w:ascii="Times New Roman" w:eastAsia="Times New Roman" w:hAnsi="Times New Roman" w:cs="Times New Roman"/>
                <w:color w:val="000000" w:themeColor="text1"/>
                <w:sz w:val="20"/>
                <w:szCs w:val="20"/>
              </w:rPr>
              <w:t>1</w:t>
            </w:r>
          </w:p>
        </w:tc>
      </w:tr>
    </w:tbl>
    <w:p w14:paraId="38AF72F5" w14:textId="77777777" w:rsidR="009E4F3A" w:rsidRPr="00AA67B0" w:rsidRDefault="009E4F3A" w:rsidP="009E4F3A">
      <w:pPr>
        <w:pStyle w:val="Prrafodelista"/>
        <w:spacing w:after="0" w:line="360" w:lineRule="auto"/>
        <w:ind w:left="0"/>
        <w:rPr>
          <w:rFonts w:ascii="Times New Roman" w:hAnsi="Times New Roman" w:cs="Times New Roman"/>
          <w:color w:val="000000" w:themeColor="text1"/>
          <w:sz w:val="20"/>
          <w:szCs w:val="24"/>
          <w:lang w:val="en-GB"/>
        </w:rPr>
      </w:pPr>
      <w:r w:rsidRPr="00AA67B0">
        <w:rPr>
          <w:rFonts w:ascii="Times New Roman" w:hAnsi="Times New Roman" w:cs="Times New Roman"/>
          <w:color w:val="000000" w:themeColor="text1"/>
          <w:sz w:val="20"/>
          <w:szCs w:val="24"/>
          <w:lang w:val="en-GB"/>
        </w:rPr>
        <w:t>* p&lt;.05; ** p&lt;.01; *** p&lt;.001</w:t>
      </w:r>
    </w:p>
    <w:p w14:paraId="3DD9E4D1" w14:textId="77777777" w:rsidR="009E4F3A" w:rsidRPr="00AA67B0" w:rsidRDefault="009E4F3A">
      <w:pPr>
        <w:rPr>
          <w:color w:val="000000" w:themeColor="text1"/>
        </w:rPr>
      </w:pPr>
    </w:p>
    <w:p w14:paraId="6B2BE829" w14:textId="77777777" w:rsidR="009E4F3A" w:rsidRPr="00AA67B0" w:rsidRDefault="009E4F3A">
      <w:pPr>
        <w:rPr>
          <w:color w:val="000000" w:themeColor="text1"/>
        </w:rPr>
      </w:pPr>
    </w:p>
    <w:p w14:paraId="0E765C9E" w14:textId="77777777" w:rsidR="00EB56D6" w:rsidRPr="00AA67B0" w:rsidRDefault="004D1F5E">
      <w:pPr>
        <w:rPr>
          <w:rFonts w:ascii="Times New Roman" w:eastAsia="Times New Roman" w:hAnsi="Times New Roman" w:cs="Times New Roman"/>
          <w:b/>
          <w:color w:val="000000" w:themeColor="text1"/>
          <w:sz w:val="24"/>
          <w:szCs w:val="24"/>
        </w:rPr>
      </w:pPr>
      <w:r w:rsidRPr="00AA67B0">
        <w:rPr>
          <w:color w:val="000000" w:themeColor="text1"/>
        </w:rPr>
        <w:br w:type="page"/>
      </w:r>
      <w:r w:rsidRPr="00AA67B0">
        <w:rPr>
          <w:rFonts w:ascii="Times New Roman" w:eastAsia="Times New Roman" w:hAnsi="Times New Roman" w:cs="Times New Roman"/>
          <w:b/>
          <w:color w:val="000000" w:themeColor="text1"/>
          <w:sz w:val="24"/>
          <w:szCs w:val="24"/>
        </w:rPr>
        <w:lastRenderedPageBreak/>
        <w:t>Table 5</w:t>
      </w:r>
    </w:p>
    <w:p w14:paraId="6DCBC647" w14:textId="77777777" w:rsidR="00EB56D6" w:rsidRPr="00AA67B0" w:rsidRDefault="004D1F5E">
      <w:pPr>
        <w:rPr>
          <w:rFonts w:ascii="Times New Roman" w:eastAsia="Times New Roman" w:hAnsi="Times New Roman" w:cs="Times New Roman"/>
          <w:b/>
          <w:color w:val="000000" w:themeColor="text1"/>
          <w:sz w:val="24"/>
          <w:szCs w:val="24"/>
        </w:rPr>
      </w:pPr>
      <w:r w:rsidRPr="00AA67B0">
        <w:rPr>
          <w:rFonts w:ascii="Times New Roman" w:eastAsia="Times New Roman" w:hAnsi="Times New Roman" w:cs="Times New Roman"/>
          <w:b/>
          <w:color w:val="000000" w:themeColor="text1"/>
          <w:sz w:val="24"/>
          <w:szCs w:val="24"/>
        </w:rPr>
        <w:t>Hierarchical regression analysis for exploring the socio-demographic characteristics on the three dimensions of burnout.</w:t>
      </w:r>
    </w:p>
    <w:p w14:paraId="3D828A6E" w14:textId="77777777" w:rsidR="00EB56D6" w:rsidRPr="00AA67B0" w:rsidRDefault="00EB56D6">
      <w:pPr>
        <w:rPr>
          <w:rFonts w:ascii="Times New Roman" w:eastAsia="Times New Roman" w:hAnsi="Times New Roman" w:cs="Times New Roman"/>
          <w:b/>
          <w:color w:val="000000" w:themeColor="text1"/>
          <w:sz w:val="24"/>
          <w:szCs w:val="24"/>
        </w:rPr>
      </w:pPr>
    </w:p>
    <w:tbl>
      <w:tblPr>
        <w:tblStyle w:val="a3"/>
        <w:tblW w:w="14570"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761"/>
        <w:gridCol w:w="1396"/>
        <w:gridCol w:w="1075"/>
        <w:gridCol w:w="1571"/>
        <w:gridCol w:w="1294"/>
        <w:gridCol w:w="1294"/>
        <w:gridCol w:w="1297"/>
        <w:gridCol w:w="1294"/>
        <w:gridCol w:w="1294"/>
        <w:gridCol w:w="1294"/>
      </w:tblGrid>
      <w:tr w:rsidR="00EB56D6" w:rsidRPr="00AA67B0" w14:paraId="29B28B24" w14:textId="77777777">
        <w:trPr>
          <w:trHeight w:val="280"/>
        </w:trPr>
        <w:tc>
          <w:tcPr>
            <w:tcW w:w="2761" w:type="dxa"/>
            <w:tcBorders>
              <w:top w:val="single" w:sz="4" w:space="0" w:color="000000"/>
              <w:bottom w:val="nil"/>
              <w:right w:val="single" w:sz="4" w:space="0" w:color="000000"/>
            </w:tcBorders>
          </w:tcPr>
          <w:p w14:paraId="54056285" w14:textId="77777777" w:rsidR="00EB56D6" w:rsidRPr="00AA67B0" w:rsidRDefault="004D1F5E">
            <w:pPr>
              <w:rPr>
                <w:color w:val="000000" w:themeColor="text1"/>
              </w:rPr>
            </w:pPr>
            <w:r w:rsidRPr="00AA67B0">
              <w:rPr>
                <w:color w:val="000000" w:themeColor="text1"/>
              </w:rPr>
              <w:t>Variables</w:t>
            </w:r>
          </w:p>
        </w:tc>
        <w:tc>
          <w:tcPr>
            <w:tcW w:w="4042" w:type="dxa"/>
            <w:gridSpan w:val="3"/>
            <w:tcBorders>
              <w:top w:val="single" w:sz="4" w:space="0" w:color="000000"/>
              <w:left w:val="single" w:sz="4" w:space="0" w:color="000000"/>
              <w:bottom w:val="nil"/>
              <w:right w:val="single" w:sz="4" w:space="0" w:color="000000"/>
            </w:tcBorders>
            <w:vAlign w:val="center"/>
          </w:tcPr>
          <w:p w14:paraId="6DA169DF" w14:textId="77777777" w:rsidR="00EB56D6" w:rsidRPr="00AA67B0" w:rsidRDefault="004D1F5E">
            <w:pPr>
              <w:jc w:val="center"/>
              <w:rPr>
                <w:b/>
                <w:i/>
                <w:color w:val="000000" w:themeColor="text1"/>
              </w:rPr>
            </w:pPr>
            <w:r w:rsidRPr="00AA67B0">
              <w:rPr>
                <w:b/>
                <w:i/>
                <w:color w:val="000000" w:themeColor="text1"/>
              </w:rPr>
              <w:t>Emotional Exhaustion</w:t>
            </w:r>
          </w:p>
        </w:tc>
        <w:tc>
          <w:tcPr>
            <w:tcW w:w="3885" w:type="dxa"/>
            <w:gridSpan w:val="3"/>
            <w:tcBorders>
              <w:top w:val="single" w:sz="4" w:space="0" w:color="000000"/>
              <w:left w:val="single" w:sz="4" w:space="0" w:color="000000"/>
              <w:bottom w:val="nil"/>
              <w:right w:val="single" w:sz="4" w:space="0" w:color="000000"/>
            </w:tcBorders>
          </w:tcPr>
          <w:p w14:paraId="64677CE1" w14:textId="77777777" w:rsidR="00EB56D6" w:rsidRPr="00AA67B0" w:rsidRDefault="004D1F5E">
            <w:pPr>
              <w:jc w:val="center"/>
              <w:rPr>
                <w:b/>
                <w:i/>
                <w:color w:val="000000" w:themeColor="text1"/>
              </w:rPr>
            </w:pPr>
            <w:r w:rsidRPr="00AA67B0">
              <w:rPr>
                <w:b/>
                <w:i/>
                <w:color w:val="000000" w:themeColor="text1"/>
              </w:rPr>
              <w:t>Depersonalisation</w:t>
            </w:r>
          </w:p>
        </w:tc>
        <w:tc>
          <w:tcPr>
            <w:tcW w:w="3882" w:type="dxa"/>
            <w:gridSpan w:val="3"/>
            <w:tcBorders>
              <w:top w:val="single" w:sz="4" w:space="0" w:color="000000"/>
              <w:left w:val="single" w:sz="4" w:space="0" w:color="000000"/>
              <w:bottom w:val="nil"/>
            </w:tcBorders>
          </w:tcPr>
          <w:p w14:paraId="712EC117" w14:textId="77777777" w:rsidR="00EB56D6" w:rsidRPr="00AA67B0" w:rsidRDefault="004D1F5E">
            <w:pPr>
              <w:jc w:val="center"/>
              <w:rPr>
                <w:b/>
                <w:i/>
                <w:color w:val="000000" w:themeColor="text1"/>
              </w:rPr>
            </w:pPr>
            <w:r w:rsidRPr="00AA67B0">
              <w:rPr>
                <w:b/>
                <w:i/>
                <w:color w:val="000000" w:themeColor="text1"/>
              </w:rPr>
              <w:t>Personal Accomplishment</w:t>
            </w:r>
          </w:p>
        </w:tc>
      </w:tr>
      <w:tr w:rsidR="00EB56D6" w:rsidRPr="00AA67B0" w14:paraId="05A21295" w14:textId="77777777">
        <w:trPr>
          <w:trHeight w:val="280"/>
        </w:trPr>
        <w:tc>
          <w:tcPr>
            <w:tcW w:w="2761" w:type="dxa"/>
            <w:tcBorders>
              <w:top w:val="nil"/>
              <w:bottom w:val="single" w:sz="4" w:space="0" w:color="000000"/>
              <w:right w:val="single" w:sz="4" w:space="0" w:color="000000"/>
            </w:tcBorders>
          </w:tcPr>
          <w:p w14:paraId="41909A40" w14:textId="77777777" w:rsidR="00EB56D6" w:rsidRPr="00AA67B0" w:rsidRDefault="00EB56D6">
            <w:pPr>
              <w:rPr>
                <w:color w:val="000000" w:themeColor="text1"/>
              </w:rPr>
            </w:pPr>
          </w:p>
        </w:tc>
        <w:tc>
          <w:tcPr>
            <w:tcW w:w="1396" w:type="dxa"/>
            <w:tcBorders>
              <w:top w:val="nil"/>
              <w:left w:val="single" w:sz="4" w:space="0" w:color="000000"/>
              <w:bottom w:val="single" w:sz="4" w:space="0" w:color="000000"/>
            </w:tcBorders>
            <w:vAlign w:val="center"/>
          </w:tcPr>
          <w:p w14:paraId="637A6F9A" w14:textId="77777777" w:rsidR="00EB56D6" w:rsidRPr="00AA67B0" w:rsidRDefault="004D1F5E">
            <w:pPr>
              <w:jc w:val="center"/>
              <w:rPr>
                <w:b/>
                <w:color w:val="000000" w:themeColor="text1"/>
              </w:rPr>
            </w:pPr>
            <w:r w:rsidRPr="00AA67B0">
              <w:rPr>
                <w:b/>
                <w:color w:val="000000" w:themeColor="text1"/>
              </w:rPr>
              <w:t>Step 1(</w:t>
            </w:r>
            <w:r w:rsidRPr="00AA67B0">
              <w:rPr>
                <w:b/>
                <w:i/>
                <w:color w:val="000000" w:themeColor="text1"/>
              </w:rPr>
              <w:t>β</w:t>
            </w:r>
            <w:r w:rsidRPr="00AA67B0">
              <w:rPr>
                <w:b/>
                <w:color w:val="000000" w:themeColor="text1"/>
              </w:rPr>
              <w:t>)</w:t>
            </w:r>
          </w:p>
        </w:tc>
        <w:tc>
          <w:tcPr>
            <w:tcW w:w="1075" w:type="dxa"/>
            <w:tcBorders>
              <w:top w:val="nil"/>
              <w:bottom w:val="single" w:sz="4" w:space="0" w:color="000000"/>
            </w:tcBorders>
            <w:vAlign w:val="center"/>
          </w:tcPr>
          <w:p w14:paraId="6B18456D" w14:textId="77777777" w:rsidR="00EB56D6" w:rsidRPr="00AA67B0" w:rsidRDefault="004D1F5E">
            <w:pPr>
              <w:jc w:val="center"/>
              <w:rPr>
                <w:b/>
                <w:color w:val="000000" w:themeColor="text1"/>
              </w:rPr>
            </w:pPr>
            <w:r w:rsidRPr="00AA67B0">
              <w:rPr>
                <w:b/>
                <w:color w:val="000000" w:themeColor="text1"/>
              </w:rPr>
              <w:t>Step 2(</w:t>
            </w:r>
            <w:r w:rsidRPr="00AA67B0">
              <w:rPr>
                <w:b/>
                <w:i/>
                <w:color w:val="000000" w:themeColor="text1"/>
              </w:rPr>
              <w:t>β</w:t>
            </w:r>
            <w:r w:rsidRPr="00AA67B0">
              <w:rPr>
                <w:b/>
                <w:color w:val="000000" w:themeColor="text1"/>
              </w:rPr>
              <w:t>)</w:t>
            </w:r>
          </w:p>
        </w:tc>
        <w:tc>
          <w:tcPr>
            <w:tcW w:w="1571" w:type="dxa"/>
            <w:tcBorders>
              <w:top w:val="nil"/>
              <w:bottom w:val="single" w:sz="4" w:space="0" w:color="000000"/>
              <w:right w:val="single" w:sz="4" w:space="0" w:color="000000"/>
            </w:tcBorders>
            <w:vAlign w:val="center"/>
          </w:tcPr>
          <w:p w14:paraId="1D2C68AD" w14:textId="77777777" w:rsidR="00EB56D6" w:rsidRPr="00AA67B0" w:rsidRDefault="004D1F5E">
            <w:pPr>
              <w:jc w:val="center"/>
              <w:rPr>
                <w:b/>
                <w:color w:val="000000" w:themeColor="text1"/>
              </w:rPr>
            </w:pPr>
            <w:r w:rsidRPr="00AA67B0">
              <w:rPr>
                <w:b/>
                <w:color w:val="000000" w:themeColor="text1"/>
              </w:rPr>
              <w:t>Step 3(</w:t>
            </w:r>
            <w:r w:rsidRPr="00AA67B0">
              <w:rPr>
                <w:b/>
                <w:i/>
                <w:color w:val="000000" w:themeColor="text1"/>
              </w:rPr>
              <w:t>β</w:t>
            </w:r>
            <w:r w:rsidRPr="00AA67B0">
              <w:rPr>
                <w:b/>
                <w:color w:val="000000" w:themeColor="text1"/>
              </w:rPr>
              <w:t>)</w:t>
            </w:r>
          </w:p>
        </w:tc>
        <w:tc>
          <w:tcPr>
            <w:tcW w:w="1294" w:type="dxa"/>
            <w:tcBorders>
              <w:top w:val="nil"/>
              <w:left w:val="single" w:sz="4" w:space="0" w:color="000000"/>
              <w:bottom w:val="single" w:sz="4" w:space="0" w:color="000000"/>
            </w:tcBorders>
          </w:tcPr>
          <w:p w14:paraId="4BB874E9" w14:textId="77777777" w:rsidR="00EB56D6" w:rsidRPr="00AA67B0" w:rsidRDefault="004D1F5E">
            <w:pPr>
              <w:rPr>
                <w:b/>
                <w:color w:val="000000" w:themeColor="text1"/>
              </w:rPr>
            </w:pPr>
            <w:r w:rsidRPr="00AA67B0">
              <w:rPr>
                <w:b/>
                <w:color w:val="000000" w:themeColor="text1"/>
              </w:rPr>
              <w:t>Step 1(</w:t>
            </w:r>
            <w:r w:rsidRPr="00AA67B0">
              <w:rPr>
                <w:b/>
                <w:i/>
                <w:color w:val="000000" w:themeColor="text1"/>
              </w:rPr>
              <w:t>β</w:t>
            </w:r>
            <w:r w:rsidRPr="00AA67B0">
              <w:rPr>
                <w:b/>
                <w:color w:val="000000" w:themeColor="text1"/>
              </w:rPr>
              <w:t>)</w:t>
            </w:r>
          </w:p>
        </w:tc>
        <w:tc>
          <w:tcPr>
            <w:tcW w:w="1294" w:type="dxa"/>
            <w:tcBorders>
              <w:top w:val="nil"/>
              <w:bottom w:val="single" w:sz="4" w:space="0" w:color="000000"/>
            </w:tcBorders>
          </w:tcPr>
          <w:p w14:paraId="7E69F418" w14:textId="77777777" w:rsidR="00EB56D6" w:rsidRPr="00AA67B0" w:rsidRDefault="004D1F5E">
            <w:pPr>
              <w:rPr>
                <w:b/>
                <w:color w:val="000000" w:themeColor="text1"/>
              </w:rPr>
            </w:pPr>
            <w:r w:rsidRPr="00AA67B0">
              <w:rPr>
                <w:b/>
                <w:color w:val="000000" w:themeColor="text1"/>
              </w:rPr>
              <w:t>Step 2(</w:t>
            </w:r>
            <w:r w:rsidRPr="00AA67B0">
              <w:rPr>
                <w:b/>
                <w:i/>
                <w:color w:val="000000" w:themeColor="text1"/>
              </w:rPr>
              <w:t>β</w:t>
            </w:r>
            <w:r w:rsidRPr="00AA67B0">
              <w:rPr>
                <w:b/>
                <w:color w:val="000000" w:themeColor="text1"/>
              </w:rPr>
              <w:t>)</w:t>
            </w:r>
          </w:p>
        </w:tc>
        <w:tc>
          <w:tcPr>
            <w:tcW w:w="1297" w:type="dxa"/>
            <w:tcBorders>
              <w:top w:val="nil"/>
              <w:bottom w:val="single" w:sz="4" w:space="0" w:color="000000"/>
              <w:right w:val="single" w:sz="4" w:space="0" w:color="000000"/>
            </w:tcBorders>
          </w:tcPr>
          <w:p w14:paraId="41C63AAC" w14:textId="77777777" w:rsidR="00EB56D6" w:rsidRPr="00AA67B0" w:rsidRDefault="004D1F5E">
            <w:pPr>
              <w:rPr>
                <w:b/>
                <w:color w:val="000000" w:themeColor="text1"/>
              </w:rPr>
            </w:pPr>
            <w:r w:rsidRPr="00AA67B0">
              <w:rPr>
                <w:b/>
                <w:color w:val="000000" w:themeColor="text1"/>
              </w:rPr>
              <w:t>Step 3(</w:t>
            </w:r>
            <w:r w:rsidRPr="00AA67B0">
              <w:rPr>
                <w:b/>
                <w:i/>
                <w:color w:val="000000" w:themeColor="text1"/>
              </w:rPr>
              <w:t>β</w:t>
            </w:r>
            <w:r w:rsidRPr="00AA67B0">
              <w:rPr>
                <w:b/>
                <w:color w:val="000000" w:themeColor="text1"/>
              </w:rPr>
              <w:t>)</w:t>
            </w:r>
          </w:p>
        </w:tc>
        <w:tc>
          <w:tcPr>
            <w:tcW w:w="1294" w:type="dxa"/>
            <w:tcBorders>
              <w:top w:val="nil"/>
              <w:left w:val="single" w:sz="4" w:space="0" w:color="000000"/>
              <w:bottom w:val="single" w:sz="4" w:space="0" w:color="000000"/>
            </w:tcBorders>
          </w:tcPr>
          <w:p w14:paraId="6CC5BF5C" w14:textId="77777777" w:rsidR="00EB56D6" w:rsidRPr="00AA67B0" w:rsidRDefault="004D1F5E">
            <w:pPr>
              <w:rPr>
                <w:b/>
                <w:color w:val="000000" w:themeColor="text1"/>
              </w:rPr>
            </w:pPr>
            <w:r w:rsidRPr="00AA67B0">
              <w:rPr>
                <w:b/>
                <w:color w:val="000000" w:themeColor="text1"/>
              </w:rPr>
              <w:t>Step 1(</w:t>
            </w:r>
            <w:r w:rsidRPr="00AA67B0">
              <w:rPr>
                <w:b/>
                <w:i/>
                <w:color w:val="000000" w:themeColor="text1"/>
              </w:rPr>
              <w:t>β</w:t>
            </w:r>
            <w:r w:rsidRPr="00AA67B0">
              <w:rPr>
                <w:b/>
                <w:color w:val="000000" w:themeColor="text1"/>
              </w:rPr>
              <w:t>)</w:t>
            </w:r>
          </w:p>
        </w:tc>
        <w:tc>
          <w:tcPr>
            <w:tcW w:w="1294" w:type="dxa"/>
            <w:tcBorders>
              <w:top w:val="nil"/>
              <w:bottom w:val="single" w:sz="4" w:space="0" w:color="000000"/>
            </w:tcBorders>
          </w:tcPr>
          <w:p w14:paraId="794B1551" w14:textId="77777777" w:rsidR="00EB56D6" w:rsidRPr="00AA67B0" w:rsidRDefault="004D1F5E">
            <w:pPr>
              <w:rPr>
                <w:b/>
                <w:color w:val="000000" w:themeColor="text1"/>
              </w:rPr>
            </w:pPr>
            <w:r w:rsidRPr="00AA67B0">
              <w:rPr>
                <w:b/>
                <w:color w:val="000000" w:themeColor="text1"/>
              </w:rPr>
              <w:t>Step 2(</w:t>
            </w:r>
            <w:r w:rsidRPr="00AA67B0">
              <w:rPr>
                <w:b/>
                <w:i/>
                <w:color w:val="000000" w:themeColor="text1"/>
              </w:rPr>
              <w:t>β</w:t>
            </w:r>
            <w:r w:rsidRPr="00AA67B0">
              <w:rPr>
                <w:b/>
                <w:color w:val="000000" w:themeColor="text1"/>
              </w:rPr>
              <w:t>)</w:t>
            </w:r>
          </w:p>
        </w:tc>
        <w:tc>
          <w:tcPr>
            <w:tcW w:w="1294" w:type="dxa"/>
            <w:tcBorders>
              <w:top w:val="nil"/>
              <w:bottom w:val="single" w:sz="4" w:space="0" w:color="000000"/>
            </w:tcBorders>
          </w:tcPr>
          <w:p w14:paraId="507DD004" w14:textId="77777777" w:rsidR="00EB56D6" w:rsidRPr="00AA67B0" w:rsidRDefault="004D1F5E">
            <w:pPr>
              <w:rPr>
                <w:b/>
                <w:color w:val="000000" w:themeColor="text1"/>
              </w:rPr>
            </w:pPr>
            <w:r w:rsidRPr="00AA67B0">
              <w:rPr>
                <w:b/>
                <w:color w:val="000000" w:themeColor="text1"/>
              </w:rPr>
              <w:t>Step 3(</w:t>
            </w:r>
            <w:r w:rsidRPr="00AA67B0">
              <w:rPr>
                <w:b/>
                <w:i/>
                <w:color w:val="000000" w:themeColor="text1"/>
              </w:rPr>
              <w:t>β</w:t>
            </w:r>
            <w:r w:rsidRPr="00AA67B0">
              <w:rPr>
                <w:b/>
                <w:color w:val="000000" w:themeColor="text1"/>
              </w:rPr>
              <w:t>)</w:t>
            </w:r>
          </w:p>
        </w:tc>
      </w:tr>
      <w:tr w:rsidR="00EB56D6" w:rsidRPr="00AA67B0" w14:paraId="62A4FAEA" w14:textId="77777777">
        <w:trPr>
          <w:trHeight w:val="280"/>
        </w:trPr>
        <w:tc>
          <w:tcPr>
            <w:tcW w:w="2761" w:type="dxa"/>
            <w:tcBorders>
              <w:top w:val="single" w:sz="4" w:space="0" w:color="000000"/>
              <w:bottom w:val="nil"/>
              <w:right w:val="single" w:sz="4" w:space="0" w:color="000000"/>
            </w:tcBorders>
          </w:tcPr>
          <w:p w14:paraId="35AF8B89" w14:textId="77777777" w:rsidR="00EB56D6" w:rsidRPr="00AA67B0" w:rsidRDefault="004D1F5E">
            <w:pPr>
              <w:rPr>
                <w:i/>
                <w:color w:val="000000" w:themeColor="text1"/>
              </w:rPr>
            </w:pPr>
            <w:r w:rsidRPr="00AA67B0">
              <w:rPr>
                <w:i/>
                <w:color w:val="000000" w:themeColor="text1"/>
              </w:rPr>
              <w:t>Age</w:t>
            </w:r>
          </w:p>
        </w:tc>
        <w:tc>
          <w:tcPr>
            <w:tcW w:w="1396" w:type="dxa"/>
            <w:tcBorders>
              <w:top w:val="single" w:sz="4" w:space="0" w:color="000000"/>
              <w:left w:val="single" w:sz="4" w:space="0" w:color="000000"/>
              <w:bottom w:val="nil"/>
            </w:tcBorders>
          </w:tcPr>
          <w:p w14:paraId="2A88E375" w14:textId="77777777" w:rsidR="00EB56D6" w:rsidRPr="00AA67B0" w:rsidRDefault="004D1F5E">
            <w:pPr>
              <w:jc w:val="center"/>
              <w:rPr>
                <w:color w:val="000000" w:themeColor="text1"/>
              </w:rPr>
            </w:pPr>
            <w:r w:rsidRPr="00AA67B0">
              <w:rPr>
                <w:color w:val="000000" w:themeColor="text1"/>
              </w:rPr>
              <w:t>.283</w:t>
            </w:r>
          </w:p>
        </w:tc>
        <w:tc>
          <w:tcPr>
            <w:tcW w:w="1075" w:type="dxa"/>
            <w:tcBorders>
              <w:top w:val="single" w:sz="4" w:space="0" w:color="000000"/>
              <w:bottom w:val="nil"/>
            </w:tcBorders>
          </w:tcPr>
          <w:p w14:paraId="608ACD6D" w14:textId="77777777" w:rsidR="00EB56D6" w:rsidRPr="00AA67B0" w:rsidRDefault="004D1F5E">
            <w:pPr>
              <w:jc w:val="center"/>
              <w:rPr>
                <w:color w:val="000000" w:themeColor="text1"/>
              </w:rPr>
            </w:pPr>
            <w:r w:rsidRPr="00AA67B0">
              <w:rPr>
                <w:color w:val="000000" w:themeColor="text1"/>
              </w:rPr>
              <w:t>.919</w:t>
            </w:r>
          </w:p>
        </w:tc>
        <w:tc>
          <w:tcPr>
            <w:tcW w:w="1571" w:type="dxa"/>
            <w:tcBorders>
              <w:top w:val="single" w:sz="4" w:space="0" w:color="000000"/>
              <w:bottom w:val="nil"/>
              <w:right w:val="single" w:sz="4" w:space="0" w:color="000000"/>
            </w:tcBorders>
          </w:tcPr>
          <w:p w14:paraId="47F7CB34" w14:textId="77777777" w:rsidR="00EB56D6" w:rsidRPr="00AA67B0" w:rsidRDefault="004D1F5E">
            <w:pPr>
              <w:jc w:val="center"/>
              <w:rPr>
                <w:color w:val="000000" w:themeColor="text1"/>
              </w:rPr>
            </w:pPr>
            <w:r w:rsidRPr="00AA67B0">
              <w:rPr>
                <w:color w:val="000000" w:themeColor="text1"/>
              </w:rPr>
              <w:t>,323</w:t>
            </w:r>
          </w:p>
        </w:tc>
        <w:tc>
          <w:tcPr>
            <w:tcW w:w="1294" w:type="dxa"/>
            <w:tcBorders>
              <w:top w:val="single" w:sz="4" w:space="0" w:color="000000"/>
              <w:left w:val="single" w:sz="4" w:space="0" w:color="000000"/>
              <w:bottom w:val="nil"/>
            </w:tcBorders>
          </w:tcPr>
          <w:p w14:paraId="083B665B" w14:textId="77777777" w:rsidR="00EB56D6" w:rsidRPr="00AA67B0" w:rsidRDefault="004D1F5E">
            <w:pPr>
              <w:jc w:val="center"/>
              <w:rPr>
                <w:color w:val="000000" w:themeColor="text1"/>
              </w:rPr>
            </w:pPr>
            <w:r w:rsidRPr="00AA67B0">
              <w:rPr>
                <w:color w:val="000000" w:themeColor="text1"/>
              </w:rPr>
              <w:t>-.758*</w:t>
            </w:r>
          </w:p>
        </w:tc>
        <w:tc>
          <w:tcPr>
            <w:tcW w:w="1294" w:type="dxa"/>
            <w:tcBorders>
              <w:top w:val="single" w:sz="4" w:space="0" w:color="000000"/>
              <w:bottom w:val="nil"/>
            </w:tcBorders>
          </w:tcPr>
          <w:p w14:paraId="69D26A14" w14:textId="77777777" w:rsidR="00EB56D6" w:rsidRPr="00AA67B0" w:rsidRDefault="004D1F5E">
            <w:pPr>
              <w:jc w:val="center"/>
              <w:rPr>
                <w:color w:val="000000" w:themeColor="text1"/>
              </w:rPr>
            </w:pPr>
            <w:r w:rsidRPr="00AA67B0">
              <w:rPr>
                <w:color w:val="000000" w:themeColor="text1"/>
              </w:rPr>
              <w:t>-,585</w:t>
            </w:r>
          </w:p>
        </w:tc>
        <w:tc>
          <w:tcPr>
            <w:tcW w:w="1297" w:type="dxa"/>
            <w:tcBorders>
              <w:top w:val="single" w:sz="4" w:space="0" w:color="000000"/>
              <w:bottom w:val="nil"/>
              <w:right w:val="single" w:sz="4" w:space="0" w:color="000000"/>
            </w:tcBorders>
          </w:tcPr>
          <w:p w14:paraId="483C63DF" w14:textId="77777777" w:rsidR="00EB56D6" w:rsidRPr="00AA67B0" w:rsidRDefault="004D1F5E">
            <w:pPr>
              <w:jc w:val="center"/>
              <w:rPr>
                <w:color w:val="000000" w:themeColor="text1"/>
              </w:rPr>
            </w:pPr>
            <w:r w:rsidRPr="00AA67B0">
              <w:rPr>
                <w:color w:val="000000" w:themeColor="text1"/>
              </w:rPr>
              <w:t>-1,243***</w:t>
            </w:r>
          </w:p>
        </w:tc>
        <w:tc>
          <w:tcPr>
            <w:tcW w:w="1294" w:type="dxa"/>
            <w:tcBorders>
              <w:top w:val="single" w:sz="4" w:space="0" w:color="000000"/>
              <w:left w:val="single" w:sz="4" w:space="0" w:color="000000"/>
              <w:bottom w:val="nil"/>
            </w:tcBorders>
          </w:tcPr>
          <w:p w14:paraId="4FD03D59" w14:textId="77777777" w:rsidR="00EB56D6" w:rsidRPr="00AA67B0" w:rsidRDefault="004D1F5E">
            <w:pPr>
              <w:jc w:val="center"/>
              <w:rPr>
                <w:color w:val="000000" w:themeColor="text1"/>
              </w:rPr>
            </w:pPr>
            <w:r w:rsidRPr="00AA67B0">
              <w:rPr>
                <w:color w:val="000000" w:themeColor="text1"/>
              </w:rPr>
              <w:t>.040</w:t>
            </w:r>
          </w:p>
        </w:tc>
        <w:tc>
          <w:tcPr>
            <w:tcW w:w="1294" w:type="dxa"/>
            <w:tcBorders>
              <w:top w:val="single" w:sz="4" w:space="0" w:color="000000"/>
              <w:bottom w:val="nil"/>
            </w:tcBorders>
          </w:tcPr>
          <w:p w14:paraId="02CE6949" w14:textId="77777777" w:rsidR="00EB56D6" w:rsidRPr="00AA67B0" w:rsidRDefault="004D1F5E">
            <w:pPr>
              <w:jc w:val="center"/>
              <w:rPr>
                <w:color w:val="000000" w:themeColor="text1"/>
              </w:rPr>
            </w:pPr>
            <w:r w:rsidRPr="00AA67B0">
              <w:rPr>
                <w:color w:val="000000" w:themeColor="text1"/>
              </w:rPr>
              <w:t>-,132</w:t>
            </w:r>
          </w:p>
        </w:tc>
        <w:tc>
          <w:tcPr>
            <w:tcW w:w="1294" w:type="dxa"/>
            <w:tcBorders>
              <w:top w:val="single" w:sz="4" w:space="0" w:color="000000"/>
              <w:bottom w:val="nil"/>
            </w:tcBorders>
          </w:tcPr>
          <w:p w14:paraId="43A9C2DA" w14:textId="77777777" w:rsidR="00EB56D6" w:rsidRPr="00AA67B0" w:rsidRDefault="004D1F5E">
            <w:pPr>
              <w:jc w:val="center"/>
              <w:rPr>
                <w:color w:val="000000" w:themeColor="text1"/>
              </w:rPr>
            </w:pPr>
            <w:r w:rsidRPr="00AA67B0">
              <w:rPr>
                <w:color w:val="000000" w:themeColor="text1"/>
              </w:rPr>
              <w:t>,340</w:t>
            </w:r>
          </w:p>
        </w:tc>
      </w:tr>
      <w:tr w:rsidR="00EB56D6" w:rsidRPr="00AA67B0" w14:paraId="45359377" w14:textId="77777777">
        <w:trPr>
          <w:trHeight w:val="280"/>
        </w:trPr>
        <w:tc>
          <w:tcPr>
            <w:tcW w:w="2761" w:type="dxa"/>
            <w:tcBorders>
              <w:top w:val="nil"/>
              <w:bottom w:val="nil"/>
              <w:right w:val="single" w:sz="4" w:space="0" w:color="000000"/>
            </w:tcBorders>
            <w:shd w:val="clear" w:color="auto" w:fill="FFFFFF"/>
          </w:tcPr>
          <w:p w14:paraId="6E3ACC0E" w14:textId="77777777" w:rsidR="00EB56D6" w:rsidRPr="00AA67B0" w:rsidRDefault="004D1F5E">
            <w:pPr>
              <w:rPr>
                <w:i/>
                <w:color w:val="000000" w:themeColor="text1"/>
              </w:rPr>
            </w:pPr>
            <w:r w:rsidRPr="00AA67B0">
              <w:rPr>
                <w:i/>
                <w:color w:val="000000" w:themeColor="text1"/>
              </w:rPr>
              <w:t>Having Been on Sick Leave</w:t>
            </w:r>
          </w:p>
        </w:tc>
        <w:tc>
          <w:tcPr>
            <w:tcW w:w="1396" w:type="dxa"/>
            <w:tcBorders>
              <w:top w:val="nil"/>
              <w:left w:val="single" w:sz="4" w:space="0" w:color="000000"/>
              <w:bottom w:val="nil"/>
            </w:tcBorders>
            <w:shd w:val="clear" w:color="auto" w:fill="FFFFFF"/>
          </w:tcPr>
          <w:p w14:paraId="60B32840" w14:textId="77777777" w:rsidR="00EB56D6" w:rsidRPr="00AA67B0" w:rsidRDefault="004D1F5E">
            <w:pPr>
              <w:jc w:val="center"/>
              <w:rPr>
                <w:color w:val="000000" w:themeColor="text1"/>
              </w:rPr>
            </w:pPr>
            <w:r w:rsidRPr="00AA67B0">
              <w:rPr>
                <w:color w:val="000000" w:themeColor="text1"/>
              </w:rPr>
              <w:t>3,458***</w:t>
            </w:r>
          </w:p>
        </w:tc>
        <w:tc>
          <w:tcPr>
            <w:tcW w:w="1075" w:type="dxa"/>
            <w:tcBorders>
              <w:top w:val="nil"/>
              <w:bottom w:val="nil"/>
            </w:tcBorders>
            <w:shd w:val="clear" w:color="auto" w:fill="FFFFFF"/>
          </w:tcPr>
          <w:p w14:paraId="541C0022" w14:textId="77777777" w:rsidR="00EB56D6" w:rsidRPr="00AA67B0" w:rsidRDefault="004D1F5E">
            <w:pPr>
              <w:jc w:val="center"/>
              <w:rPr>
                <w:color w:val="000000" w:themeColor="text1"/>
              </w:rPr>
            </w:pPr>
            <w:r w:rsidRPr="00AA67B0">
              <w:rPr>
                <w:color w:val="000000" w:themeColor="text1"/>
              </w:rPr>
              <w:t>3,476***</w:t>
            </w:r>
          </w:p>
        </w:tc>
        <w:tc>
          <w:tcPr>
            <w:tcW w:w="1571" w:type="dxa"/>
            <w:tcBorders>
              <w:top w:val="nil"/>
              <w:bottom w:val="nil"/>
              <w:right w:val="single" w:sz="4" w:space="0" w:color="000000"/>
            </w:tcBorders>
            <w:shd w:val="clear" w:color="auto" w:fill="FFFFFF"/>
          </w:tcPr>
          <w:p w14:paraId="513DECDF" w14:textId="77777777" w:rsidR="00EB56D6" w:rsidRPr="00AA67B0" w:rsidRDefault="004D1F5E">
            <w:pPr>
              <w:jc w:val="center"/>
              <w:rPr>
                <w:color w:val="000000" w:themeColor="text1"/>
              </w:rPr>
            </w:pPr>
            <w:r w:rsidRPr="00AA67B0">
              <w:rPr>
                <w:color w:val="000000" w:themeColor="text1"/>
              </w:rPr>
              <w:t>3,281***</w:t>
            </w:r>
          </w:p>
        </w:tc>
        <w:tc>
          <w:tcPr>
            <w:tcW w:w="1294" w:type="dxa"/>
            <w:tcBorders>
              <w:top w:val="nil"/>
              <w:left w:val="single" w:sz="4" w:space="0" w:color="000000"/>
              <w:bottom w:val="nil"/>
            </w:tcBorders>
            <w:shd w:val="clear" w:color="auto" w:fill="FFFFFF"/>
          </w:tcPr>
          <w:p w14:paraId="4FB4FCA7" w14:textId="77777777" w:rsidR="00EB56D6" w:rsidRPr="00AA67B0" w:rsidRDefault="004D1F5E">
            <w:pPr>
              <w:jc w:val="center"/>
              <w:rPr>
                <w:color w:val="000000" w:themeColor="text1"/>
              </w:rPr>
            </w:pPr>
            <w:r w:rsidRPr="00AA67B0">
              <w:rPr>
                <w:color w:val="000000" w:themeColor="text1"/>
              </w:rPr>
              <w:t>1.098**</w:t>
            </w:r>
          </w:p>
        </w:tc>
        <w:tc>
          <w:tcPr>
            <w:tcW w:w="1294" w:type="dxa"/>
            <w:tcBorders>
              <w:top w:val="nil"/>
              <w:bottom w:val="nil"/>
            </w:tcBorders>
            <w:shd w:val="clear" w:color="auto" w:fill="FFFFFF"/>
          </w:tcPr>
          <w:p w14:paraId="6D4D841B" w14:textId="77777777" w:rsidR="00EB56D6" w:rsidRPr="00AA67B0" w:rsidRDefault="004D1F5E">
            <w:pPr>
              <w:jc w:val="center"/>
              <w:rPr>
                <w:color w:val="000000" w:themeColor="text1"/>
              </w:rPr>
            </w:pPr>
            <w:r w:rsidRPr="00AA67B0">
              <w:rPr>
                <w:color w:val="000000" w:themeColor="text1"/>
              </w:rPr>
              <w:t>1.102**</w:t>
            </w:r>
          </w:p>
        </w:tc>
        <w:tc>
          <w:tcPr>
            <w:tcW w:w="1297" w:type="dxa"/>
            <w:tcBorders>
              <w:top w:val="nil"/>
              <w:bottom w:val="nil"/>
              <w:right w:val="single" w:sz="4" w:space="0" w:color="000000"/>
            </w:tcBorders>
            <w:shd w:val="clear" w:color="auto" w:fill="FFFFFF"/>
          </w:tcPr>
          <w:p w14:paraId="51D20029" w14:textId="77777777" w:rsidR="00EB56D6" w:rsidRPr="00AA67B0" w:rsidRDefault="004D1F5E">
            <w:pPr>
              <w:jc w:val="center"/>
              <w:rPr>
                <w:color w:val="000000" w:themeColor="text1"/>
              </w:rPr>
            </w:pPr>
            <w:r w:rsidRPr="00AA67B0">
              <w:rPr>
                <w:color w:val="000000" w:themeColor="text1"/>
              </w:rPr>
              <w:t>.922**</w:t>
            </w:r>
          </w:p>
        </w:tc>
        <w:tc>
          <w:tcPr>
            <w:tcW w:w="1294" w:type="dxa"/>
            <w:tcBorders>
              <w:top w:val="nil"/>
              <w:left w:val="single" w:sz="4" w:space="0" w:color="000000"/>
              <w:bottom w:val="nil"/>
            </w:tcBorders>
            <w:shd w:val="clear" w:color="auto" w:fill="FFFFFF"/>
          </w:tcPr>
          <w:p w14:paraId="005D0495" w14:textId="77777777" w:rsidR="00EB56D6" w:rsidRPr="00AA67B0" w:rsidRDefault="004D1F5E">
            <w:pPr>
              <w:jc w:val="center"/>
              <w:rPr>
                <w:color w:val="000000" w:themeColor="text1"/>
              </w:rPr>
            </w:pPr>
            <w:r w:rsidRPr="00AA67B0">
              <w:rPr>
                <w:color w:val="000000" w:themeColor="text1"/>
              </w:rPr>
              <w:t>-1.073*</w:t>
            </w:r>
          </w:p>
        </w:tc>
        <w:tc>
          <w:tcPr>
            <w:tcW w:w="1294" w:type="dxa"/>
            <w:tcBorders>
              <w:top w:val="nil"/>
              <w:bottom w:val="nil"/>
            </w:tcBorders>
            <w:shd w:val="clear" w:color="auto" w:fill="FFFFFF"/>
          </w:tcPr>
          <w:p w14:paraId="0B8579E3" w14:textId="77777777" w:rsidR="00EB56D6" w:rsidRPr="00AA67B0" w:rsidRDefault="004D1F5E">
            <w:pPr>
              <w:jc w:val="center"/>
              <w:rPr>
                <w:color w:val="000000" w:themeColor="text1"/>
              </w:rPr>
            </w:pPr>
            <w:r w:rsidRPr="00AA67B0">
              <w:rPr>
                <w:color w:val="000000" w:themeColor="text1"/>
              </w:rPr>
              <w:t>-1.077*</w:t>
            </w:r>
          </w:p>
        </w:tc>
        <w:tc>
          <w:tcPr>
            <w:tcW w:w="1294" w:type="dxa"/>
            <w:tcBorders>
              <w:top w:val="nil"/>
              <w:bottom w:val="nil"/>
            </w:tcBorders>
            <w:shd w:val="clear" w:color="auto" w:fill="FFFFFF"/>
          </w:tcPr>
          <w:p w14:paraId="1AA19DF6" w14:textId="77777777" w:rsidR="00EB56D6" w:rsidRPr="00AA67B0" w:rsidRDefault="004D1F5E">
            <w:pPr>
              <w:jc w:val="center"/>
              <w:rPr>
                <w:color w:val="000000" w:themeColor="text1"/>
              </w:rPr>
            </w:pPr>
            <w:r w:rsidRPr="00AA67B0">
              <w:rPr>
                <w:color w:val="000000" w:themeColor="text1"/>
              </w:rPr>
              <w:t>-1.027*</w:t>
            </w:r>
          </w:p>
        </w:tc>
      </w:tr>
      <w:tr w:rsidR="00EB56D6" w:rsidRPr="00AA67B0" w14:paraId="73187398" w14:textId="77777777">
        <w:trPr>
          <w:trHeight w:val="280"/>
        </w:trPr>
        <w:tc>
          <w:tcPr>
            <w:tcW w:w="2761" w:type="dxa"/>
            <w:tcBorders>
              <w:top w:val="nil"/>
              <w:bottom w:val="single" w:sz="4" w:space="0" w:color="000000"/>
              <w:right w:val="single" w:sz="4" w:space="0" w:color="000000"/>
            </w:tcBorders>
            <w:shd w:val="clear" w:color="auto" w:fill="FFFFFF"/>
          </w:tcPr>
          <w:p w14:paraId="33671429" w14:textId="77777777" w:rsidR="00EB56D6" w:rsidRPr="00AA67B0" w:rsidRDefault="004D1F5E">
            <w:pPr>
              <w:rPr>
                <w:i/>
                <w:color w:val="000000" w:themeColor="text1"/>
              </w:rPr>
            </w:pPr>
            <w:r w:rsidRPr="00AA67B0">
              <w:rPr>
                <w:i/>
                <w:color w:val="000000" w:themeColor="text1"/>
              </w:rPr>
              <w:t>Suffering from a Chronic Illness</w:t>
            </w:r>
          </w:p>
        </w:tc>
        <w:tc>
          <w:tcPr>
            <w:tcW w:w="1396" w:type="dxa"/>
            <w:tcBorders>
              <w:top w:val="nil"/>
              <w:left w:val="single" w:sz="4" w:space="0" w:color="000000"/>
              <w:bottom w:val="single" w:sz="4" w:space="0" w:color="000000"/>
            </w:tcBorders>
            <w:shd w:val="clear" w:color="auto" w:fill="FFFFFF"/>
          </w:tcPr>
          <w:p w14:paraId="147D3579" w14:textId="77777777" w:rsidR="00EB56D6" w:rsidRPr="00AA67B0" w:rsidRDefault="004D1F5E">
            <w:pPr>
              <w:jc w:val="center"/>
              <w:rPr>
                <w:color w:val="000000" w:themeColor="text1"/>
              </w:rPr>
            </w:pPr>
            <w:r w:rsidRPr="00AA67B0">
              <w:rPr>
                <w:color w:val="000000" w:themeColor="text1"/>
              </w:rPr>
              <w:t>2.461**</w:t>
            </w:r>
          </w:p>
        </w:tc>
        <w:tc>
          <w:tcPr>
            <w:tcW w:w="1075" w:type="dxa"/>
            <w:tcBorders>
              <w:top w:val="nil"/>
              <w:bottom w:val="single" w:sz="4" w:space="0" w:color="000000"/>
            </w:tcBorders>
            <w:shd w:val="clear" w:color="auto" w:fill="FFFFFF"/>
          </w:tcPr>
          <w:p w14:paraId="22792EDD" w14:textId="77777777" w:rsidR="00EB56D6" w:rsidRPr="00AA67B0" w:rsidRDefault="004D1F5E">
            <w:pPr>
              <w:jc w:val="center"/>
              <w:rPr>
                <w:color w:val="000000" w:themeColor="text1"/>
              </w:rPr>
            </w:pPr>
            <w:r w:rsidRPr="00AA67B0">
              <w:rPr>
                <w:color w:val="000000" w:themeColor="text1"/>
              </w:rPr>
              <w:t>2.496**</w:t>
            </w:r>
          </w:p>
        </w:tc>
        <w:tc>
          <w:tcPr>
            <w:tcW w:w="1571" w:type="dxa"/>
            <w:tcBorders>
              <w:top w:val="nil"/>
              <w:bottom w:val="single" w:sz="4" w:space="0" w:color="000000"/>
              <w:right w:val="single" w:sz="4" w:space="0" w:color="000000"/>
            </w:tcBorders>
            <w:shd w:val="clear" w:color="auto" w:fill="FFFFFF"/>
          </w:tcPr>
          <w:p w14:paraId="1E0787D7" w14:textId="77777777" w:rsidR="00EB56D6" w:rsidRPr="00AA67B0" w:rsidRDefault="004D1F5E">
            <w:pPr>
              <w:jc w:val="center"/>
              <w:rPr>
                <w:color w:val="000000" w:themeColor="text1"/>
              </w:rPr>
            </w:pPr>
            <w:r w:rsidRPr="00AA67B0">
              <w:rPr>
                <w:color w:val="000000" w:themeColor="text1"/>
              </w:rPr>
              <w:t>2.698**</w:t>
            </w:r>
          </w:p>
        </w:tc>
        <w:tc>
          <w:tcPr>
            <w:tcW w:w="1294" w:type="dxa"/>
            <w:tcBorders>
              <w:top w:val="nil"/>
              <w:left w:val="single" w:sz="4" w:space="0" w:color="000000"/>
              <w:bottom w:val="single" w:sz="4" w:space="0" w:color="000000"/>
            </w:tcBorders>
            <w:shd w:val="clear" w:color="auto" w:fill="FFFFFF"/>
          </w:tcPr>
          <w:p w14:paraId="21F2F562" w14:textId="77777777" w:rsidR="00EB56D6" w:rsidRPr="00AA67B0" w:rsidRDefault="004D1F5E">
            <w:pPr>
              <w:jc w:val="center"/>
              <w:rPr>
                <w:color w:val="000000" w:themeColor="text1"/>
              </w:rPr>
            </w:pPr>
            <w:r w:rsidRPr="00AA67B0">
              <w:rPr>
                <w:color w:val="000000" w:themeColor="text1"/>
              </w:rPr>
              <w:t>.057</w:t>
            </w:r>
          </w:p>
        </w:tc>
        <w:tc>
          <w:tcPr>
            <w:tcW w:w="1294" w:type="dxa"/>
            <w:tcBorders>
              <w:top w:val="nil"/>
              <w:bottom w:val="single" w:sz="4" w:space="0" w:color="000000"/>
            </w:tcBorders>
            <w:shd w:val="clear" w:color="auto" w:fill="FFFFFF"/>
          </w:tcPr>
          <w:p w14:paraId="00BC85E0" w14:textId="77777777" w:rsidR="00EB56D6" w:rsidRPr="00AA67B0" w:rsidRDefault="004D1F5E">
            <w:pPr>
              <w:jc w:val="center"/>
              <w:rPr>
                <w:color w:val="000000" w:themeColor="text1"/>
              </w:rPr>
            </w:pPr>
            <w:r w:rsidRPr="00AA67B0">
              <w:rPr>
                <w:color w:val="000000" w:themeColor="text1"/>
              </w:rPr>
              <w:t>.067</w:t>
            </w:r>
          </w:p>
        </w:tc>
        <w:tc>
          <w:tcPr>
            <w:tcW w:w="1297" w:type="dxa"/>
            <w:tcBorders>
              <w:top w:val="nil"/>
              <w:bottom w:val="single" w:sz="4" w:space="0" w:color="000000"/>
              <w:right w:val="single" w:sz="4" w:space="0" w:color="000000"/>
            </w:tcBorders>
            <w:shd w:val="clear" w:color="auto" w:fill="FFFFFF"/>
          </w:tcPr>
          <w:p w14:paraId="5B688A9C" w14:textId="77777777" w:rsidR="00EB56D6" w:rsidRPr="00AA67B0" w:rsidRDefault="004D1F5E">
            <w:pPr>
              <w:jc w:val="center"/>
              <w:rPr>
                <w:color w:val="000000" w:themeColor="text1"/>
              </w:rPr>
            </w:pPr>
            <w:r w:rsidRPr="00AA67B0">
              <w:rPr>
                <w:color w:val="000000" w:themeColor="text1"/>
              </w:rPr>
              <w:t>.203</w:t>
            </w:r>
          </w:p>
        </w:tc>
        <w:tc>
          <w:tcPr>
            <w:tcW w:w="1294" w:type="dxa"/>
            <w:tcBorders>
              <w:top w:val="nil"/>
              <w:left w:val="single" w:sz="4" w:space="0" w:color="000000"/>
              <w:bottom w:val="single" w:sz="4" w:space="0" w:color="000000"/>
            </w:tcBorders>
            <w:shd w:val="clear" w:color="auto" w:fill="FFFFFF"/>
          </w:tcPr>
          <w:p w14:paraId="549A7144" w14:textId="77777777" w:rsidR="00EB56D6" w:rsidRPr="00AA67B0" w:rsidRDefault="004D1F5E">
            <w:pPr>
              <w:jc w:val="center"/>
              <w:rPr>
                <w:color w:val="000000" w:themeColor="text1"/>
              </w:rPr>
            </w:pPr>
            <w:r w:rsidRPr="00AA67B0">
              <w:rPr>
                <w:color w:val="000000" w:themeColor="text1"/>
              </w:rPr>
              <w:t>.277</w:t>
            </w:r>
          </w:p>
        </w:tc>
        <w:tc>
          <w:tcPr>
            <w:tcW w:w="1294" w:type="dxa"/>
            <w:tcBorders>
              <w:top w:val="nil"/>
              <w:bottom w:val="single" w:sz="4" w:space="0" w:color="000000"/>
            </w:tcBorders>
            <w:shd w:val="clear" w:color="auto" w:fill="FFFFFF"/>
          </w:tcPr>
          <w:p w14:paraId="43F826E7" w14:textId="77777777" w:rsidR="00EB56D6" w:rsidRPr="00AA67B0" w:rsidRDefault="004D1F5E">
            <w:pPr>
              <w:jc w:val="center"/>
              <w:rPr>
                <w:color w:val="000000" w:themeColor="text1"/>
              </w:rPr>
            </w:pPr>
            <w:r w:rsidRPr="00AA67B0">
              <w:rPr>
                <w:color w:val="000000" w:themeColor="text1"/>
              </w:rPr>
              <w:t>.267</w:t>
            </w:r>
          </w:p>
        </w:tc>
        <w:tc>
          <w:tcPr>
            <w:tcW w:w="1294" w:type="dxa"/>
            <w:tcBorders>
              <w:top w:val="nil"/>
              <w:bottom w:val="single" w:sz="4" w:space="0" w:color="000000"/>
            </w:tcBorders>
            <w:shd w:val="clear" w:color="auto" w:fill="FFFFFF"/>
          </w:tcPr>
          <w:p w14:paraId="21F946A9" w14:textId="77777777" w:rsidR="00EB56D6" w:rsidRPr="00AA67B0" w:rsidRDefault="004D1F5E">
            <w:pPr>
              <w:jc w:val="center"/>
              <w:rPr>
                <w:color w:val="000000" w:themeColor="text1"/>
              </w:rPr>
            </w:pPr>
            <w:r w:rsidRPr="00AA67B0">
              <w:rPr>
                <w:color w:val="000000" w:themeColor="text1"/>
              </w:rPr>
              <w:t>.204</w:t>
            </w:r>
          </w:p>
        </w:tc>
      </w:tr>
      <w:tr w:rsidR="00EB56D6" w:rsidRPr="00AA67B0" w14:paraId="019B3A69" w14:textId="77777777">
        <w:trPr>
          <w:trHeight w:val="280"/>
        </w:trPr>
        <w:tc>
          <w:tcPr>
            <w:tcW w:w="2761" w:type="dxa"/>
            <w:tcBorders>
              <w:top w:val="single" w:sz="4" w:space="0" w:color="000000"/>
              <w:bottom w:val="nil"/>
              <w:right w:val="single" w:sz="4" w:space="0" w:color="000000"/>
            </w:tcBorders>
          </w:tcPr>
          <w:p w14:paraId="0C1782E3" w14:textId="77777777" w:rsidR="00EB56D6" w:rsidRPr="00AA67B0" w:rsidRDefault="004D1F5E">
            <w:pPr>
              <w:rPr>
                <w:i/>
                <w:color w:val="000000" w:themeColor="text1"/>
              </w:rPr>
            </w:pPr>
            <w:r w:rsidRPr="00AA67B0">
              <w:rPr>
                <w:i/>
                <w:color w:val="000000" w:themeColor="text1"/>
              </w:rPr>
              <w:t>Having Children in the Home</w:t>
            </w:r>
          </w:p>
        </w:tc>
        <w:tc>
          <w:tcPr>
            <w:tcW w:w="1396" w:type="dxa"/>
            <w:tcBorders>
              <w:top w:val="single" w:sz="4" w:space="0" w:color="000000"/>
              <w:left w:val="single" w:sz="4" w:space="0" w:color="000000"/>
              <w:bottom w:val="nil"/>
            </w:tcBorders>
            <w:vAlign w:val="center"/>
          </w:tcPr>
          <w:p w14:paraId="7D04EAE5" w14:textId="77777777" w:rsidR="00EB56D6" w:rsidRPr="00AA67B0" w:rsidRDefault="00EB56D6">
            <w:pPr>
              <w:jc w:val="center"/>
              <w:rPr>
                <w:color w:val="000000" w:themeColor="text1"/>
              </w:rPr>
            </w:pPr>
          </w:p>
        </w:tc>
        <w:tc>
          <w:tcPr>
            <w:tcW w:w="1075" w:type="dxa"/>
            <w:tcBorders>
              <w:top w:val="single" w:sz="4" w:space="0" w:color="000000"/>
              <w:bottom w:val="nil"/>
            </w:tcBorders>
          </w:tcPr>
          <w:p w14:paraId="40B44861" w14:textId="77777777" w:rsidR="00EB56D6" w:rsidRPr="00AA67B0" w:rsidRDefault="004D1F5E">
            <w:pPr>
              <w:jc w:val="center"/>
              <w:rPr>
                <w:color w:val="000000" w:themeColor="text1"/>
              </w:rPr>
            </w:pPr>
            <w:r w:rsidRPr="00AA67B0">
              <w:rPr>
                <w:color w:val="000000" w:themeColor="text1"/>
              </w:rPr>
              <w:t>-1.604*</w:t>
            </w:r>
          </w:p>
        </w:tc>
        <w:tc>
          <w:tcPr>
            <w:tcW w:w="1571" w:type="dxa"/>
            <w:tcBorders>
              <w:top w:val="single" w:sz="4" w:space="0" w:color="000000"/>
              <w:bottom w:val="nil"/>
              <w:right w:val="single" w:sz="4" w:space="0" w:color="000000"/>
            </w:tcBorders>
          </w:tcPr>
          <w:p w14:paraId="5F498E5F" w14:textId="77777777" w:rsidR="00EB56D6" w:rsidRPr="00AA67B0" w:rsidRDefault="004D1F5E">
            <w:pPr>
              <w:jc w:val="center"/>
              <w:rPr>
                <w:color w:val="000000" w:themeColor="text1"/>
              </w:rPr>
            </w:pPr>
            <w:r w:rsidRPr="00AA67B0">
              <w:rPr>
                <w:color w:val="000000" w:themeColor="text1"/>
              </w:rPr>
              <w:t>-1.714*</w:t>
            </w:r>
          </w:p>
        </w:tc>
        <w:tc>
          <w:tcPr>
            <w:tcW w:w="1294" w:type="dxa"/>
            <w:tcBorders>
              <w:top w:val="single" w:sz="4" w:space="0" w:color="000000"/>
              <w:left w:val="single" w:sz="4" w:space="0" w:color="000000"/>
              <w:bottom w:val="nil"/>
            </w:tcBorders>
          </w:tcPr>
          <w:p w14:paraId="23E7CA40" w14:textId="77777777" w:rsidR="00EB56D6" w:rsidRPr="00AA67B0" w:rsidRDefault="00EB56D6">
            <w:pPr>
              <w:jc w:val="center"/>
              <w:rPr>
                <w:color w:val="000000" w:themeColor="text1"/>
              </w:rPr>
            </w:pPr>
          </w:p>
        </w:tc>
        <w:tc>
          <w:tcPr>
            <w:tcW w:w="1294" w:type="dxa"/>
            <w:tcBorders>
              <w:top w:val="single" w:sz="4" w:space="0" w:color="000000"/>
              <w:bottom w:val="nil"/>
            </w:tcBorders>
          </w:tcPr>
          <w:p w14:paraId="0E46B6C5" w14:textId="77777777" w:rsidR="00EB56D6" w:rsidRPr="00AA67B0" w:rsidRDefault="004D1F5E">
            <w:pPr>
              <w:jc w:val="center"/>
              <w:rPr>
                <w:color w:val="000000" w:themeColor="text1"/>
              </w:rPr>
            </w:pPr>
            <w:r w:rsidRPr="00AA67B0">
              <w:rPr>
                <w:color w:val="000000" w:themeColor="text1"/>
              </w:rPr>
              <w:t>-.437</w:t>
            </w:r>
          </w:p>
        </w:tc>
        <w:tc>
          <w:tcPr>
            <w:tcW w:w="1297" w:type="dxa"/>
            <w:tcBorders>
              <w:top w:val="single" w:sz="4" w:space="0" w:color="000000"/>
              <w:bottom w:val="nil"/>
              <w:right w:val="single" w:sz="4" w:space="0" w:color="000000"/>
            </w:tcBorders>
          </w:tcPr>
          <w:p w14:paraId="49DE5BEA" w14:textId="77777777" w:rsidR="00EB56D6" w:rsidRPr="00AA67B0" w:rsidRDefault="004D1F5E">
            <w:pPr>
              <w:jc w:val="center"/>
              <w:rPr>
                <w:color w:val="000000" w:themeColor="text1"/>
              </w:rPr>
            </w:pPr>
            <w:r w:rsidRPr="00AA67B0">
              <w:rPr>
                <w:color w:val="000000" w:themeColor="text1"/>
              </w:rPr>
              <w:t>-.546</w:t>
            </w:r>
          </w:p>
        </w:tc>
        <w:tc>
          <w:tcPr>
            <w:tcW w:w="1294" w:type="dxa"/>
            <w:tcBorders>
              <w:top w:val="single" w:sz="4" w:space="0" w:color="000000"/>
              <w:left w:val="single" w:sz="4" w:space="0" w:color="000000"/>
              <w:bottom w:val="nil"/>
            </w:tcBorders>
          </w:tcPr>
          <w:p w14:paraId="7278EA42" w14:textId="77777777" w:rsidR="00EB56D6" w:rsidRPr="00AA67B0" w:rsidRDefault="00EB56D6">
            <w:pPr>
              <w:jc w:val="center"/>
              <w:rPr>
                <w:color w:val="000000" w:themeColor="text1"/>
              </w:rPr>
            </w:pPr>
          </w:p>
        </w:tc>
        <w:tc>
          <w:tcPr>
            <w:tcW w:w="1294" w:type="dxa"/>
            <w:tcBorders>
              <w:top w:val="single" w:sz="4" w:space="0" w:color="000000"/>
              <w:bottom w:val="nil"/>
            </w:tcBorders>
          </w:tcPr>
          <w:p w14:paraId="23BFE668" w14:textId="77777777" w:rsidR="00EB56D6" w:rsidRPr="00AA67B0" w:rsidRDefault="004D1F5E">
            <w:pPr>
              <w:jc w:val="center"/>
              <w:rPr>
                <w:color w:val="000000" w:themeColor="text1"/>
              </w:rPr>
            </w:pPr>
            <w:r w:rsidRPr="00AA67B0">
              <w:rPr>
                <w:color w:val="000000" w:themeColor="text1"/>
              </w:rPr>
              <w:t>.434</w:t>
            </w:r>
          </w:p>
        </w:tc>
        <w:tc>
          <w:tcPr>
            <w:tcW w:w="1294" w:type="dxa"/>
            <w:tcBorders>
              <w:top w:val="single" w:sz="4" w:space="0" w:color="000000"/>
              <w:bottom w:val="nil"/>
            </w:tcBorders>
          </w:tcPr>
          <w:p w14:paraId="13F6E426" w14:textId="77777777" w:rsidR="00EB56D6" w:rsidRPr="00AA67B0" w:rsidRDefault="004D1F5E">
            <w:pPr>
              <w:jc w:val="center"/>
              <w:rPr>
                <w:color w:val="000000" w:themeColor="text1"/>
              </w:rPr>
            </w:pPr>
            <w:r w:rsidRPr="00AA67B0">
              <w:rPr>
                <w:color w:val="000000" w:themeColor="text1"/>
              </w:rPr>
              <w:t>.594</w:t>
            </w:r>
          </w:p>
        </w:tc>
      </w:tr>
      <w:tr w:rsidR="00EB56D6" w:rsidRPr="00AA67B0" w14:paraId="0C3B8DBE" w14:textId="77777777">
        <w:trPr>
          <w:trHeight w:val="280"/>
        </w:trPr>
        <w:tc>
          <w:tcPr>
            <w:tcW w:w="2761" w:type="dxa"/>
            <w:tcBorders>
              <w:top w:val="single" w:sz="4" w:space="0" w:color="000000"/>
              <w:bottom w:val="nil"/>
              <w:right w:val="single" w:sz="4" w:space="0" w:color="000000"/>
            </w:tcBorders>
          </w:tcPr>
          <w:p w14:paraId="3B1C6EE4" w14:textId="77777777" w:rsidR="00EB56D6" w:rsidRPr="00AA67B0" w:rsidRDefault="004D1F5E">
            <w:pPr>
              <w:rPr>
                <w:i/>
                <w:color w:val="000000" w:themeColor="text1"/>
              </w:rPr>
            </w:pPr>
            <w:r w:rsidRPr="00AA67B0">
              <w:rPr>
                <w:i/>
                <w:color w:val="000000" w:themeColor="text1"/>
              </w:rPr>
              <w:t>Sector of the Population Served</w:t>
            </w:r>
          </w:p>
        </w:tc>
        <w:tc>
          <w:tcPr>
            <w:tcW w:w="1396" w:type="dxa"/>
            <w:tcBorders>
              <w:top w:val="single" w:sz="4" w:space="0" w:color="000000"/>
              <w:left w:val="single" w:sz="4" w:space="0" w:color="000000"/>
              <w:bottom w:val="nil"/>
            </w:tcBorders>
            <w:vAlign w:val="center"/>
          </w:tcPr>
          <w:p w14:paraId="4CD6E2C4" w14:textId="77777777" w:rsidR="00EB56D6" w:rsidRPr="00AA67B0" w:rsidRDefault="00EB56D6">
            <w:pPr>
              <w:jc w:val="center"/>
              <w:rPr>
                <w:color w:val="000000" w:themeColor="text1"/>
              </w:rPr>
            </w:pPr>
          </w:p>
        </w:tc>
        <w:tc>
          <w:tcPr>
            <w:tcW w:w="1075" w:type="dxa"/>
            <w:tcBorders>
              <w:top w:val="single" w:sz="4" w:space="0" w:color="000000"/>
              <w:bottom w:val="nil"/>
            </w:tcBorders>
            <w:vAlign w:val="center"/>
          </w:tcPr>
          <w:p w14:paraId="6AC65882" w14:textId="77777777" w:rsidR="00EB56D6" w:rsidRPr="00AA67B0" w:rsidRDefault="00EB56D6">
            <w:pPr>
              <w:jc w:val="center"/>
              <w:rPr>
                <w:color w:val="000000" w:themeColor="text1"/>
              </w:rPr>
            </w:pPr>
          </w:p>
        </w:tc>
        <w:tc>
          <w:tcPr>
            <w:tcW w:w="1571" w:type="dxa"/>
            <w:tcBorders>
              <w:top w:val="single" w:sz="4" w:space="0" w:color="000000"/>
              <w:bottom w:val="nil"/>
              <w:right w:val="single" w:sz="4" w:space="0" w:color="000000"/>
            </w:tcBorders>
          </w:tcPr>
          <w:p w14:paraId="563E753A" w14:textId="77777777" w:rsidR="00EB56D6" w:rsidRPr="00AA67B0" w:rsidRDefault="004D1F5E">
            <w:pPr>
              <w:jc w:val="center"/>
              <w:rPr>
                <w:color w:val="000000" w:themeColor="text1"/>
              </w:rPr>
            </w:pPr>
            <w:r w:rsidRPr="00AA67B0">
              <w:rPr>
                <w:color w:val="000000" w:themeColor="text1"/>
              </w:rPr>
              <w:t>-2.579***</w:t>
            </w:r>
          </w:p>
        </w:tc>
        <w:tc>
          <w:tcPr>
            <w:tcW w:w="1294" w:type="dxa"/>
            <w:tcBorders>
              <w:top w:val="single" w:sz="4" w:space="0" w:color="000000"/>
              <w:left w:val="single" w:sz="4" w:space="0" w:color="000000"/>
              <w:bottom w:val="nil"/>
            </w:tcBorders>
          </w:tcPr>
          <w:p w14:paraId="3524119B" w14:textId="77777777" w:rsidR="00EB56D6" w:rsidRPr="00AA67B0" w:rsidRDefault="00EB56D6">
            <w:pPr>
              <w:jc w:val="center"/>
              <w:rPr>
                <w:color w:val="000000" w:themeColor="text1"/>
              </w:rPr>
            </w:pPr>
          </w:p>
        </w:tc>
        <w:tc>
          <w:tcPr>
            <w:tcW w:w="1294" w:type="dxa"/>
            <w:tcBorders>
              <w:top w:val="single" w:sz="4" w:space="0" w:color="000000"/>
              <w:bottom w:val="nil"/>
            </w:tcBorders>
          </w:tcPr>
          <w:p w14:paraId="43C4317D" w14:textId="77777777" w:rsidR="00EB56D6" w:rsidRPr="00AA67B0" w:rsidRDefault="00EB56D6">
            <w:pPr>
              <w:jc w:val="center"/>
              <w:rPr>
                <w:color w:val="000000" w:themeColor="text1"/>
              </w:rPr>
            </w:pPr>
          </w:p>
        </w:tc>
        <w:tc>
          <w:tcPr>
            <w:tcW w:w="1297" w:type="dxa"/>
            <w:tcBorders>
              <w:top w:val="single" w:sz="4" w:space="0" w:color="000000"/>
              <w:bottom w:val="nil"/>
              <w:right w:val="single" w:sz="4" w:space="0" w:color="000000"/>
            </w:tcBorders>
          </w:tcPr>
          <w:p w14:paraId="58AB5B81" w14:textId="77777777" w:rsidR="00EB56D6" w:rsidRPr="00AA67B0" w:rsidRDefault="004D1F5E">
            <w:pPr>
              <w:jc w:val="center"/>
              <w:rPr>
                <w:color w:val="000000" w:themeColor="text1"/>
              </w:rPr>
            </w:pPr>
            <w:r w:rsidRPr="00AA67B0">
              <w:rPr>
                <w:color w:val="000000" w:themeColor="text1"/>
              </w:rPr>
              <w:t>-1.386***</w:t>
            </w:r>
          </w:p>
        </w:tc>
        <w:tc>
          <w:tcPr>
            <w:tcW w:w="1294" w:type="dxa"/>
            <w:tcBorders>
              <w:top w:val="single" w:sz="4" w:space="0" w:color="000000"/>
              <w:left w:val="single" w:sz="4" w:space="0" w:color="000000"/>
              <w:bottom w:val="nil"/>
            </w:tcBorders>
          </w:tcPr>
          <w:p w14:paraId="40E24E90" w14:textId="77777777" w:rsidR="00EB56D6" w:rsidRPr="00AA67B0" w:rsidRDefault="00EB56D6">
            <w:pPr>
              <w:jc w:val="center"/>
              <w:rPr>
                <w:color w:val="000000" w:themeColor="text1"/>
              </w:rPr>
            </w:pPr>
          </w:p>
        </w:tc>
        <w:tc>
          <w:tcPr>
            <w:tcW w:w="1294" w:type="dxa"/>
            <w:tcBorders>
              <w:top w:val="single" w:sz="4" w:space="0" w:color="000000"/>
              <w:bottom w:val="nil"/>
            </w:tcBorders>
          </w:tcPr>
          <w:p w14:paraId="44ECB6F7" w14:textId="77777777" w:rsidR="00EB56D6" w:rsidRPr="00AA67B0" w:rsidRDefault="00EB56D6">
            <w:pPr>
              <w:jc w:val="center"/>
              <w:rPr>
                <w:color w:val="000000" w:themeColor="text1"/>
              </w:rPr>
            </w:pPr>
          </w:p>
        </w:tc>
        <w:tc>
          <w:tcPr>
            <w:tcW w:w="1294" w:type="dxa"/>
            <w:tcBorders>
              <w:top w:val="single" w:sz="4" w:space="0" w:color="000000"/>
              <w:bottom w:val="nil"/>
            </w:tcBorders>
          </w:tcPr>
          <w:p w14:paraId="4833F49A" w14:textId="77777777" w:rsidR="00EB56D6" w:rsidRPr="00AA67B0" w:rsidRDefault="004D1F5E">
            <w:pPr>
              <w:jc w:val="center"/>
              <w:rPr>
                <w:color w:val="000000" w:themeColor="text1"/>
              </w:rPr>
            </w:pPr>
            <w:r w:rsidRPr="00AA67B0">
              <w:rPr>
                <w:color w:val="000000" w:themeColor="text1"/>
              </w:rPr>
              <w:t>.993*</w:t>
            </w:r>
          </w:p>
        </w:tc>
      </w:tr>
      <w:tr w:rsidR="00EB56D6" w:rsidRPr="00AA67B0" w14:paraId="2B732D35" w14:textId="77777777">
        <w:trPr>
          <w:trHeight w:val="280"/>
        </w:trPr>
        <w:tc>
          <w:tcPr>
            <w:tcW w:w="2761" w:type="dxa"/>
            <w:tcBorders>
              <w:right w:val="single" w:sz="4" w:space="0" w:color="000000"/>
            </w:tcBorders>
          </w:tcPr>
          <w:p w14:paraId="63B964AC" w14:textId="77777777" w:rsidR="00EB56D6" w:rsidRPr="00AA67B0" w:rsidRDefault="004D1F5E">
            <w:pPr>
              <w:rPr>
                <w:i/>
                <w:color w:val="000000" w:themeColor="text1"/>
              </w:rPr>
            </w:pPr>
            <w:r w:rsidRPr="00AA67B0">
              <w:rPr>
                <w:i/>
                <w:color w:val="000000" w:themeColor="text1"/>
              </w:rPr>
              <w:t>Full-time or Part-time</w:t>
            </w:r>
          </w:p>
        </w:tc>
        <w:tc>
          <w:tcPr>
            <w:tcW w:w="1396" w:type="dxa"/>
            <w:tcBorders>
              <w:left w:val="single" w:sz="4" w:space="0" w:color="000000"/>
            </w:tcBorders>
            <w:vAlign w:val="center"/>
          </w:tcPr>
          <w:p w14:paraId="5A581298" w14:textId="77777777" w:rsidR="00EB56D6" w:rsidRPr="00AA67B0" w:rsidRDefault="00EB56D6">
            <w:pPr>
              <w:jc w:val="center"/>
              <w:rPr>
                <w:color w:val="000000" w:themeColor="text1"/>
              </w:rPr>
            </w:pPr>
          </w:p>
        </w:tc>
        <w:tc>
          <w:tcPr>
            <w:tcW w:w="1075" w:type="dxa"/>
            <w:vAlign w:val="center"/>
          </w:tcPr>
          <w:p w14:paraId="7FCE3193" w14:textId="77777777" w:rsidR="00EB56D6" w:rsidRPr="00AA67B0" w:rsidRDefault="00EB56D6">
            <w:pPr>
              <w:jc w:val="center"/>
              <w:rPr>
                <w:color w:val="000000" w:themeColor="text1"/>
              </w:rPr>
            </w:pPr>
          </w:p>
        </w:tc>
        <w:tc>
          <w:tcPr>
            <w:tcW w:w="1571" w:type="dxa"/>
            <w:tcBorders>
              <w:right w:val="single" w:sz="4" w:space="0" w:color="000000"/>
            </w:tcBorders>
          </w:tcPr>
          <w:p w14:paraId="2450C4DF" w14:textId="77777777" w:rsidR="00EB56D6" w:rsidRPr="00AA67B0" w:rsidRDefault="004D1F5E">
            <w:pPr>
              <w:jc w:val="center"/>
              <w:rPr>
                <w:color w:val="000000" w:themeColor="text1"/>
              </w:rPr>
            </w:pPr>
            <w:r w:rsidRPr="00AA67B0">
              <w:rPr>
                <w:color w:val="000000" w:themeColor="text1"/>
              </w:rPr>
              <w:t>1.395</w:t>
            </w:r>
          </w:p>
        </w:tc>
        <w:tc>
          <w:tcPr>
            <w:tcW w:w="1294" w:type="dxa"/>
            <w:tcBorders>
              <w:left w:val="single" w:sz="4" w:space="0" w:color="000000"/>
            </w:tcBorders>
          </w:tcPr>
          <w:p w14:paraId="499D6B37" w14:textId="77777777" w:rsidR="00EB56D6" w:rsidRPr="00AA67B0" w:rsidRDefault="00EB56D6">
            <w:pPr>
              <w:jc w:val="center"/>
              <w:rPr>
                <w:color w:val="000000" w:themeColor="text1"/>
              </w:rPr>
            </w:pPr>
          </w:p>
        </w:tc>
        <w:tc>
          <w:tcPr>
            <w:tcW w:w="1294" w:type="dxa"/>
          </w:tcPr>
          <w:p w14:paraId="3726EC68" w14:textId="77777777" w:rsidR="00EB56D6" w:rsidRPr="00AA67B0" w:rsidRDefault="00EB56D6">
            <w:pPr>
              <w:jc w:val="center"/>
              <w:rPr>
                <w:color w:val="000000" w:themeColor="text1"/>
              </w:rPr>
            </w:pPr>
          </w:p>
        </w:tc>
        <w:tc>
          <w:tcPr>
            <w:tcW w:w="1297" w:type="dxa"/>
            <w:tcBorders>
              <w:right w:val="single" w:sz="4" w:space="0" w:color="000000"/>
            </w:tcBorders>
          </w:tcPr>
          <w:p w14:paraId="6B4819EF" w14:textId="77777777" w:rsidR="00EB56D6" w:rsidRPr="00AA67B0" w:rsidRDefault="004D1F5E">
            <w:pPr>
              <w:jc w:val="center"/>
              <w:rPr>
                <w:color w:val="000000" w:themeColor="text1"/>
              </w:rPr>
            </w:pPr>
            <w:r w:rsidRPr="00AA67B0">
              <w:rPr>
                <w:color w:val="000000" w:themeColor="text1"/>
              </w:rPr>
              <w:t>1.797***</w:t>
            </w:r>
          </w:p>
        </w:tc>
        <w:tc>
          <w:tcPr>
            <w:tcW w:w="1294" w:type="dxa"/>
            <w:tcBorders>
              <w:left w:val="single" w:sz="4" w:space="0" w:color="000000"/>
            </w:tcBorders>
          </w:tcPr>
          <w:p w14:paraId="4817E2F4" w14:textId="77777777" w:rsidR="00EB56D6" w:rsidRPr="00AA67B0" w:rsidRDefault="00EB56D6">
            <w:pPr>
              <w:jc w:val="center"/>
              <w:rPr>
                <w:color w:val="000000" w:themeColor="text1"/>
              </w:rPr>
            </w:pPr>
          </w:p>
        </w:tc>
        <w:tc>
          <w:tcPr>
            <w:tcW w:w="1294" w:type="dxa"/>
          </w:tcPr>
          <w:p w14:paraId="576A91AA" w14:textId="77777777" w:rsidR="00EB56D6" w:rsidRPr="00AA67B0" w:rsidRDefault="00EB56D6">
            <w:pPr>
              <w:jc w:val="center"/>
              <w:rPr>
                <w:color w:val="000000" w:themeColor="text1"/>
              </w:rPr>
            </w:pPr>
          </w:p>
        </w:tc>
        <w:tc>
          <w:tcPr>
            <w:tcW w:w="1294" w:type="dxa"/>
          </w:tcPr>
          <w:p w14:paraId="2E631D98" w14:textId="77777777" w:rsidR="00EB56D6" w:rsidRPr="00AA67B0" w:rsidRDefault="004D1F5E">
            <w:pPr>
              <w:jc w:val="center"/>
              <w:rPr>
                <w:color w:val="000000" w:themeColor="text1"/>
              </w:rPr>
            </w:pPr>
            <w:r w:rsidRPr="00AA67B0">
              <w:rPr>
                <w:color w:val="000000" w:themeColor="text1"/>
              </w:rPr>
              <w:t>.621</w:t>
            </w:r>
          </w:p>
        </w:tc>
      </w:tr>
      <w:tr w:rsidR="00EB56D6" w:rsidRPr="00AA67B0" w14:paraId="310F21D9" w14:textId="77777777">
        <w:trPr>
          <w:trHeight w:val="280"/>
        </w:trPr>
        <w:tc>
          <w:tcPr>
            <w:tcW w:w="2761" w:type="dxa"/>
            <w:tcBorders>
              <w:right w:val="single" w:sz="4" w:space="0" w:color="000000"/>
            </w:tcBorders>
          </w:tcPr>
          <w:p w14:paraId="7C9A0DB0" w14:textId="77777777" w:rsidR="00EB56D6" w:rsidRPr="00AA67B0" w:rsidRDefault="004D1F5E">
            <w:pPr>
              <w:rPr>
                <w:i/>
                <w:color w:val="000000" w:themeColor="text1"/>
              </w:rPr>
            </w:pPr>
            <w:r w:rsidRPr="00AA67B0">
              <w:rPr>
                <w:i/>
                <w:color w:val="000000" w:themeColor="text1"/>
              </w:rPr>
              <w:t>Work Sector</w:t>
            </w:r>
          </w:p>
        </w:tc>
        <w:tc>
          <w:tcPr>
            <w:tcW w:w="1396" w:type="dxa"/>
            <w:tcBorders>
              <w:left w:val="single" w:sz="4" w:space="0" w:color="000000"/>
            </w:tcBorders>
            <w:vAlign w:val="center"/>
          </w:tcPr>
          <w:p w14:paraId="3D0C050F" w14:textId="77777777" w:rsidR="00EB56D6" w:rsidRPr="00AA67B0" w:rsidRDefault="00EB56D6">
            <w:pPr>
              <w:jc w:val="center"/>
              <w:rPr>
                <w:color w:val="000000" w:themeColor="text1"/>
              </w:rPr>
            </w:pPr>
          </w:p>
        </w:tc>
        <w:tc>
          <w:tcPr>
            <w:tcW w:w="1075" w:type="dxa"/>
            <w:vAlign w:val="center"/>
          </w:tcPr>
          <w:p w14:paraId="112AEE7D" w14:textId="77777777" w:rsidR="00EB56D6" w:rsidRPr="00AA67B0" w:rsidRDefault="00EB56D6">
            <w:pPr>
              <w:jc w:val="center"/>
              <w:rPr>
                <w:color w:val="000000" w:themeColor="text1"/>
              </w:rPr>
            </w:pPr>
          </w:p>
        </w:tc>
        <w:tc>
          <w:tcPr>
            <w:tcW w:w="1571" w:type="dxa"/>
            <w:tcBorders>
              <w:right w:val="single" w:sz="4" w:space="0" w:color="000000"/>
            </w:tcBorders>
          </w:tcPr>
          <w:p w14:paraId="370BE350" w14:textId="77777777" w:rsidR="00EB56D6" w:rsidRPr="00AA67B0" w:rsidRDefault="004D1F5E">
            <w:pPr>
              <w:jc w:val="center"/>
              <w:rPr>
                <w:color w:val="000000" w:themeColor="text1"/>
              </w:rPr>
            </w:pPr>
            <w:r w:rsidRPr="00AA67B0">
              <w:rPr>
                <w:color w:val="000000" w:themeColor="text1"/>
              </w:rPr>
              <w:t>.084</w:t>
            </w:r>
          </w:p>
        </w:tc>
        <w:tc>
          <w:tcPr>
            <w:tcW w:w="1294" w:type="dxa"/>
            <w:tcBorders>
              <w:left w:val="single" w:sz="4" w:space="0" w:color="000000"/>
            </w:tcBorders>
          </w:tcPr>
          <w:p w14:paraId="5E1C4CDA" w14:textId="77777777" w:rsidR="00EB56D6" w:rsidRPr="00AA67B0" w:rsidRDefault="00EB56D6">
            <w:pPr>
              <w:jc w:val="center"/>
              <w:rPr>
                <w:color w:val="000000" w:themeColor="text1"/>
              </w:rPr>
            </w:pPr>
          </w:p>
        </w:tc>
        <w:tc>
          <w:tcPr>
            <w:tcW w:w="1294" w:type="dxa"/>
          </w:tcPr>
          <w:p w14:paraId="7EBD2A66" w14:textId="77777777" w:rsidR="00EB56D6" w:rsidRPr="00AA67B0" w:rsidRDefault="00EB56D6">
            <w:pPr>
              <w:jc w:val="center"/>
              <w:rPr>
                <w:color w:val="000000" w:themeColor="text1"/>
              </w:rPr>
            </w:pPr>
          </w:p>
        </w:tc>
        <w:tc>
          <w:tcPr>
            <w:tcW w:w="1297" w:type="dxa"/>
            <w:tcBorders>
              <w:right w:val="single" w:sz="4" w:space="0" w:color="000000"/>
            </w:tcBorders>
          </w:tcPr>
          <w:p w14:paraId="3A1077C7" w14:textId="77777777" w:rsidR="00EB56D6" w:rsidRPr="00AA67B0" w:rsidRDefault="004D1F5E">
            <w:pPr>
              <w:jc w:val="center"/>
              <w:rPr>
                <w:color w:val="000000" w:themeColor="text1"/>
              </w:rPr>
            </w:pPr>
            <w:r w:rsidRPr="00AA67B0">
              <w:rPr>
                <w:color w:val="000000" w:themeColor="text1"/>
              </w:rPr>
              <w:t>-.717</w:t>
            </w:r>
          </w:p>
        </w:tc>
        <w:tc>
          <w:tcPr>
            <w:tcW w:w="1294" w:type="dxa"/>
            <w:tcBorders>
              <w:left w:val="single" w:sz="4" w:space="0" w:color="000000"/>
            </w:tcBorders>
          </w:tcPr>
          <w:p w14:paraId="24CFD65A" w14:textId="77777777" w:rsidR="00EB56D6" w:rsidRPr="00AA67B0" w:rsidRDefault="00EB56D6">
            <w:pPr>
              <w:jc w:val="center"/>
              <w:rPr>
                <w:color w:val="000000" w:themeColor="text1"/>
              </w:rPr>
            </w:pPr>
          </w:p>
        </w:tc>
        <w:tc>
          <w:tcPr>
            <w:tcW w:w="1294" w:type="dxa"/>
          </w:tcPr>
          <w:p w14:paraId="545EF1FE" w14:textId="77777777" w:rsidR="00EB56D6" w:rsidRPr="00AA67B0" w:rsidRDefault="00EB56D6">
            <w:pPr>
              <w:jc w:val="center"/>
              <w:rPr>
                <w:color w:val="000000" w:themeColor="text1"/>
              </w:rPr>
            </w:pPr>
          </w:p>
        </w:tc>
        <w:tc>
          <w:tcPr>
            <w:tcW w:w="1294" w:type="dxa"/>
          </w:tcPr>
          <w:p w14:paraId="5976790F" w14:textId="77777777" w:rsidR="00EB56D6" w:rsidRPr="00AA67B0" w:rsidRDefault="004D1F5E">
            <w:pPr>
              <w:jc w:val="center"/>
              <w:rPr>
                <w:color w:val="000000" w:themeColor="text1"/>
              </w:rPr>
            </w:pPr>
            <w:r w:rsidRPr="00AA67B0">
              <w:rPr>
                <w:color w:val="000000" w:themeColor="text1"/>
              </w:rPr>
              <w:t>1.329**</w:t>
            </w:r>
          </w:p>
        </w:tc>
      </w:tr>
      <w:tr w:rsidR="00EB56D6" w:rsidRPr="00AA67B0" w14:paraId="4E504304" w14:textId="77777777">
        <w:trPr>
          <w:trHeight w:val="280"/>
        </w:trPr>
        <w:tc>
          <w:tcPr>
            <w:tcW w:w="2761" w:type="dxa"/>
            <w:tcBorders>
              <w:top w:val="single" w:sz="4" w:space="0" w:color="000000"/>
              <w:bottom w:val="nil"/>
              <w:right w:val="single" w:sz="4" w:space="0" w:color="000000"/>
            </w:tcBorders>
          </w:tcPr>
          <w:p w14:paraId="2C923CCD" w14:textId="77777777" w:rsidR="00EB56D6" w:rsidRPr="00AA67B0" w:rsidRDefault="004D1F5E">
            <w:pPr>
              <w:rPr>
                <w:color w:val="000000" w:themeColor="text1"/>
              </w:rPr>
            </w:pPr>
            <w:r w:rsidRPr="00AA67B0">
              <w:rPr>
                <w:color w:val="000000" w:themeColor="text1"/>
              </w:rPr>
              <w:t>F</w:t>
            </w:r>
          </w:p>
        </w:tc>
        <w:tc>
          <w:tcPr>
            <w:tcW w:w="1396" w:type="dxa"/>
            <w:tcBorders>
              <w:top w:val="single" w:sz="4" w:space="0" w:color="000000"/>
              <w:left w:val="single" w:sz="4" w:space="0" w:color="000000"/>
              <w:bottom w:val="nil"/>
            </w:tcBorders>
            <w:vAlign w:val="center"/>
          </w:tcPr>
          <w:p w14:paraId="01335C71" w14:textId="77777777" w:rsidR="00EB56D6" w:rsidRPr="00AA67B0" w:rsidRDefault="004D1F5E">
            <w:pPr>
              <w:jc w:val="center"/>
              <w:rPr>
                <w:color w:val="000000" w:themeColor="text1"/>
              </w:rPr>
            </w:pPr>
            <w:r w:rsidRPr="00AA67B0">
              <w:rPr>
                <w:color w:val="000000" w:themeColor="text1"/>
              </w:rPr>
              <w:t>10.954***</w:t>
            </w:r>
          </w:p>
        </w:tc>
        <w:tc>
          <w:tcPr>
            <w:tcW w:w="1075" w:type="dxa"/>
            <w:tcBorders>
              <w:top w:val="single" w:sz="4" w:space="0" w:color="000000"/>
              <w:bottom w:val="nil"/>
            </w:tcBorders>
            <w:vAlign w:val="center"/>
          </w:tcPr>
          <w:p w14:paraId="2A6E17F8" w14:textId="77777777" w:rsidR="00EB56D6" w:rsidRPr="00AA67B0" w:rsidRDefault="004D1F5E">
            <w:pPr>
              <w:jc w:val="center"/>
              <w:rPr>
                <w:color w:val="000000" w:themeColor="text1"/>
              </w:rPr>
            </w:pPr>
            <w:r w:rsidRPr="00AA67B0">
              <w:rPr>
                <w:color w:val="000000" w:themeColor="text1"/>
              </w:rPr>
              <w:t>9.544***</w:t>
            </w:r>
          </w:p>
        </w:tc>
        <w:tc>
          <w:tcPr>
            <w:tcW w:w="1571" w:type="dxa"/>
            <w:tcBorders>
              <w:top w:val="single" w:sz="4" w:space="0" w:color="000000"/>
              <w:bottom w:val="nil"/>
              <w:right w:val="single" w:sz="4" w:space="0" w:color="000000"/>
            </w:tcBorders>
            <w:vAlign w:val="center"/>
          </w:tcPr>
          <w:p w14:paraId="5C9A526B" w14:textId="77777777" w:rsidR="00EB56D6" w:rsidRPr="00AA67B0" w:rsidRDefault="004D1F5E">
            <w:pPr>
              <w:jc w:val="center"/>
              <w:rPr>
                <w:color w:val="000000" w:themeColor="text1"/>
              </w:rPr>
            </w:pPr>
            <w:r w:rsidRPr="00AA67B0">
              <w:rPr>
                <w:color w:val="000000" w:themeColor="text1"/>
              </w:rPr>
              <w:t>8.065***</w:t>
            </w:r>
          </w:p>
        </w:tc>
        <w:tc>
          <w:tcPr>
            <w:tcW w:w="1294" w:type="dxa"/>
            <w:tcBorders>
              <w:top w:val="single" w:sz="4" w:space="0" w:color="000000"/>
              <w:left w:val="single" w:sz="4" w:space="0" w:color="000000"/>
              <w:bottom w:val="nil"/>
            </w:tcBorders>
          </w:tcPr>
          <w:p w14:paraId="2758C999" w14:textId="77777777" w:rsidR="00EB56D6" w:rsidRPr="00AA67B0" w:rsidRDefault="004D1F5E">
            <w:pPr>
              <w:jc w:val="center"/>
              <w:rPr>
                <w:color w:val="000000" w:themeColor="text1"/>
              </w:rPr>
            </w:pPr>
            <w:r w:rsidRPr="00AA67B0">
              <w:rPr>
                <w:color w:val="000000" w:themeColor="text1"/>
              </w:rPr>
              <w:t>5.595**</w:t>
            </w:r>
          </w:p>
        </w:tc>
        <w:tc>
          <w:tcPr>
            <w:tcW w:w="1294" w:type="dxa"/>
            <w:tcBorders>
              <w:top w:val="single" w:sz="4" w:space="0" w:color="000000"/>
              <w:bottom w:val="nil"/>
            </w:tcBorders>
          </w:tcPr>
          <w:p w14:paraId="143AB1F9" w14:textId="77777777" w:rsidR="00EB56D6" w:rsidRPr="00AA67B0" w:rsidRDefault="004D1F5E">
            <w:pPr>
              <w:jc w:val="center"/>
              <w:rPr>
                <w:color w:val="000000" w:themeColor="text1"/>
              </w:rPr>
            </w:pPr>
            <w:r w:rsidRPr="00AA67B0">
              <w:rPr>
                <w:color w:val="000000" w:themeColor="text1"/>
              </w:rPr>
              <w:t>4.628**</w:t>
            </w:r>
          </w:p>
        </w:tc>
        <w:tc>
          <w:tcPr>
            <w:tcW w:w="1297" w:type="dxa"/>
            <w:tcBorders>
              <w:top w:val="single" w:sz="4" w:space="0" w:color="000000"/>
              <w:bottom w:val="nil"/>
              <w:right w:val="single" w:sz="4" w:space="0" w:color="000000"/>
            </w:tcBorders>
          </w:tcPr>
          <w:p w14:paraId="2ACA6A8F" w14:textId="77777777" w:rsidR="00EB56D6" w:rsidRPr="00AA67B0" w:rsidRDefault="004D1F5E">
            <w:pPr>
              <w:jc w:val="center"/>
              <w:rPr>
                <w:color w:val="000000" w:themeColor="text1"/>
              </w:rPr>
            </w:pPr>
            <w:r w:rsidRPr="00AA67B0">
              <w:rPr>
                <w:color w:val="000000" w:themeColor="text1"/>
              </w:rPr>
              <w:t>10.603***</w:t>
            </w:r>
          </w:p>
        </w:tc>
        <w:tc>
          <w:tcPr>
            <w:tcW w:w="1294" w:type="dxa"/>
            <w:tcBorders>
              <w:top w:val="single" w:sz="4" w:space="0" w:color="000000"/>
              <w:left w:val="single" w:sz="4" w:space="0" w:color="000000"/>
              <w:bottom w:val="nil"/>
            </w:tcBorders>
          </w:tcPr>
          <w:p w14:paraId="3266C645" w14:textId="77777777" w:rsidR="00EB56D6" w:rsidRPr="00AA67B0" w:rsidRDefault="004D1F5E">
            <w:pPr>
              <w:jc w:val="center"/>
              <w:rPr>
                <w:color w:val="000000" w:themeColor="text1"/>
              </w:rPr>
            </w:pPr>
            <w:r w:rsidRPr="00AA67B0">
              <w:rPr>
                <w:color w:val="000000" w:themeColor="text1"/>
              </w:rPr>
              <w:t>1.963</w:t>
            </w:r>
          </w:p>
        </w:tc>
        <w:tc>
          <w:tcPr>
            <w:tcW w:w="1294" w:type="dxa"/>
            <w:tcBorders>
              <w:top w:val="single" w:sz="4" w:space="0" w:color="000000"/>
              <w:bottom w:val="nil"/>
            </w:tcBorders>
          </w:tcPr>
          <w:p w14:paraId="2BD10222" w14:textId="77777777" w:rsidR="00EB56D6" w:rsidRPr="00AA67B0" w:rsidRDefault="004D1F5E">
            <w:pPr>
              <w:jc w:val="center"/>
              <w:rPr>
                <w:color w:val="000000" w:themeColor="text1"/>
              </w:rPr>
            </w:pPr>
            <w:r w:rsidRPr="00AA67B0">
              <w:rPr>
                <w:color w:val="000000" w:themeColor="text1"/>
              </w:rPr>
              <w:t>1.742</w:t>
            </w:r>
          </w:p>
        </w:tc>
        <w:tc>
          <w:tcPr>
            <w:tcW w:w="1294" w:type="dxa"/>
            <w:tcBorders>
              <w:top w:val="single" w:sz="4" w:space="0" w:color="000000"/>
              <w:bottom w:val="nil"/>
            </w:tcBorders>
          </w:tcPr>
          <w:p w14:paraId="0C4BAD9E" w14:textId="77777777" w:rsidR="00EB56D6" w:rsidRPr="00AA67B0" w:rsidRDefault="004D1F5E">
            <w:pPr>
              <w:jc w:val="center"/>
              <w:rPr>
                <w:color w:val="000000" w:themeColor="text1"/>
              </w:rPr>
            </w:pPr>
            <w:r w:rsidRPr="00AA67B0">
              <w:rPr>
                <w:color w:val="000000" w:themeColor="text1"/>
              </w:rPr>
              <w:t>3.834***</w:t>
            </w:r>
          </w:p>
        </w:tc>
      </w:tr>
      <w:tr w:rsidR="00EB56D6" w:rsidRPr="00AA67B0" w14:paraId="19750E3C" w14:textId="77777777">
        <w:trPr>
          <w:trHeight w:val="280"/>
        </w:trPr>
        <w:tc>
          <w:tcPr>
            <w:tcW w:w="2761" w:type="dxa"/>
            <w:tcBorders>
              <w:top w:val="nil"/>
              <w:right w:val="single" w:sz="4" w:space="0" w:color="000000"/>
            </w:tcBorders>
          </w:tcPr>
          <w:p w14:paraId="7827C844" w14:textId="77777777" w:rsidR="00EB56D6" w:rsidRPr="00AA67B0" w:rsidRDefault="004D1F5E">
            <w:pPr>
              <w:rPr>
                <w:color w:val="000000" w:themeColor="text1"/>
              </w:rPr>
            </w:pPr>
            <w:r w:rsidRPr="00AA67B0">
              <w:rPr>
                <w:color w:val="000000" w:themeColor="text1"/>
              </w:rPr>
              <w:t>R</w:t>
            </w:r>
            <w:r w:rsidRPr="00AA67B0">
              <w:rPr>
                <w:color w:val="000000" w:themeColor="text1"/>
                <w:vertAlign w:val="superscript"/>
              </w:rPr>
              <w:t>2</w:t>
            </w:r>
          </w:p>
        </w:tc>
        <w:tc>
          <w:tcPr>
            <w:tcW w:w="1396" w:type="dxa"/>
            <w:tcBorders>
              <w:top w:val="nil"/>
              <w:left w:val="single" w:sz="4" w:space="0" w:color="000000"/>
            </w:tcBorders>
            <w:vAlign w:val="center"/>
          </w:tcPr>
          <w:p w14:paraId="293AD469" w14:textId="77777777" w:rsidR="00EB56D6" w:rsidRPr="00AA67B0" w:rsidRDefault="004D1F5E">
            <w:pPr>
              <w:jc w:val="center"/>
              <w:rPr>
                <w:color w:val="000000" w:themeColor="text1"/>
              </w:rPr>
            </w:pPr>
            <w:r w:rsidRPr="00AA67B0">
              <w:rPr>
                <w:color w:val="000000" w:themeColor="text1"/>
              </w:rPr>
              <w:t>.035</w:t>
            </w:r>
          </w:p>
        </w:tc>
        <w:tc>
          <w:tcPr>
            <w:tcW w:w="1075" w:type="dxa"/>
            <w:tcBorders>
              <w:top w:val="nil"/>
            </w:tcBorders>
            <w:vAlign w:val="center"/>
          </w:tcPr>
          <w:p w14:paraId="50F395C9" w14:textId="77777777" w:rsidR="00EB56D6" w:rsidRPr="00AA67B0" w:rsidRDefault="004D1F5E">
            <w:pPr>
              <w:jc w:val="center"/>
              <w:rPr>
                <w:color w:val="000000" w:themeColor="text1"/>
              </w:rPr>
            </w:pPr>
            <w:r w:rsidRPr="00AA67B0">
              <w:rPr>
                <w:color w:val="000000" w:themeColor="text1"/>
              </w:rPr>
              <w:t>.041</w:t>
            </w:r>
          </w:p>
        </w:tc>
        <w:tc>
          <w:tcPr>
            <w:tcW w:w="1571" w:type="dxa"/>
            <w:tcBorders>
              <w:top w:val="nil"/>
              <w:right w:val="single" w:sz="4" w:space="0" w:color="000000"/>
            </w:tcBorders>
            <w:vAlign w:val="center"/>
          </w:tcPr>
          <w:p w14:paraId="2BC63176" w14:textId="77777777" w:rsidR="00EB56D6" w:rsidRPr="00AA67B0" w:rsidRDefault="004D1F5E">
            <w:pPr>
              <w:jc w:val="center"/>
              <w:rPr>
                <w:color w:val="000000" w:themeColor="text1"/>
              </w:rPr>
            </w:pPr>
            <w:r w:rsidRPr="00AA67B0">
              <w:rPr>
                <w:color w:val="000000" w:themeColor="text1"/>
              </w:rPr>
              <w:t>.059</w:t>
            </w:r>
          </w:p>
        </w:tc>
        <w:tc>
          <w:tcPr>
            <w:tcW w:w="1294" w:type="dxa"/>
            <w:tcBorders>
              <w:top w:val="nil"/>
              <w:left w:val="single" w:sz="4" w:space="0" w:color="000000"/>
            </w:tcBorders>
          </w:tcPr>
          <w:p w14:paraId="6D6455DB" w14:textId="77777777" w:rsidR="00EB56D6" w:rsidRPr="00AA67B0" w:rsidRDefault="004D1F5E">
            <w:pPr>
              <w:jc w:val="center"/>
              <w:rPr>
                <w:color w:val="000000" w:themeColor="text1"/>
              </w:rPr>
            </w:pPr>
            <w:r w:rsidRPr="00AA67B0">
              <w:rPr>
                <w:color w:val="000000" w:themeColor="text1"/>
              </w:rPr>
              <w:t>.018</w:t>
            </w:r>
          </w:p>
        </w:tc>
        <w:tc>
          <w:tcPr>
            <w:tcW w:w="1294" w:type="dxa"/>
            <w:tcBorders>
              <w:top w:val="nil"/>
            </w:tcBorders>
          </w:tcPr>
          <w:p w14:paraId="3D3E922B" w14:textId="77777777" w:rsidR="00EB56D6" w:rsidRPr="00AA67B0" w:rsidRDefault="004D1F5E">
            <w:pPr>
              <w:jc w:val="center"/>
              <w:rPr>
                <w:color w:val="000000" w:themeColor="text1"/>
              </w:rPr>
            </w:pPr>
            <w:r w:rsidRPr="00AA67B0">
              <w:rPr>
                <w:color w:val="000000" w:themeColor="text1"/>
              </w:rPr>
              <w:t>.020</w:t>
            </w:r>
          </w:p>
        </w:tc>
        <w:tc>
          <w:tcPr>
            <w:tcW w:w="1297" w:type="dxa"/>
            <w:tcBorders>
              <w:top w:val="nil"/>
              <w:right w:val="single" w:sz="4" w:space="0" w:color="000000"/>
            </w:tcBorders>
          </w:tcPr>
          <w:p w14:paraId="247A4CC5" w14:textId="77777777" w:rsidR="00EB56D6" w:rsidRPr="00AA67B0" w:rsidRDefault="004D1F5E">
            <w:pPr>
              <w:jc w:val="center"/>
              <w:rPr>
                <w:color w:val="000000" w:themeColor="text1"/>
              </w:rPr>
            </w:pPr>
            <w:r w:rsidRPr="00AA67B0">
              <w:rPr>
                <w:color w:val="000000" w:themeColor="text1"/>
              </w:rPr>
              <w:t>.076</w:t>
            </w:r>
          </w:p>
        </w:tc>
        <w:tc>
          <w:tcPr>
            <w:tcW w:w="1294" w:type="dxa"/>
            <w:tcBorders>
              <w:top w:val="nil"/>
              <w:left w:val="single" w:sz="4" w:space="0" w:color="000000"/>
            </w:tcBorders>
          </w:tcPr>
          <w:p w14:paraId="02DFF08B" w14:textId="77777777" w:rsidR="00EB56D6" w:rsidRPr="00AA67B0" w:rsidRDefault="004D1F5E">
            <w:pPr>
              <w:jc w:val="center"/>
              <w:rPr>
                <w:color w:val="000000" w:themeColor="text1"/>
              </w:rPr>
            </w:pPr>
            <w:r w:rsidRPr="00AA67B0">
              <w:rPr>
                <w:color w:val="000000" w:themeColor="text1"/>
              </w:rPr>
              <w:t>.006</w:t>
            </w:r>
          </w:p>
        </w:tc>
        <w:tc>
          <w:tcPr>
            <w:tcW w:w="1294" w:type="dxa"/>
            <w:tcBorders>
              <w:top w:val="nil"/>
            </w:tcBorders>
          </w:tcPr>
          <w:p w14:paraId="641BC934" w14:textId="77777777" w:rsidR="00EB56D6" w:rsidRPr="00AA67B0" w:rsidRDefault="004D1F5E">
            <w:pPr>
              <w:jc w:val="center"/>
              <w:rPr>
                <w:color w:val="000000" w:themeColor="text1"/>
              </w:rPr>
            </w:pPr>
            <w:r w:rsidRPr="00AA67B0">
              <w:rPr>
                <w:color w:val="000000" w:themeColor="text1"/>
              </w:rPr>
              <w:t>.008</w:t>
            </w:r>
          </w:p>
        </w:tc>
        <w:tc>
          <w:tcPr>
            <w:tcW w:w="1294" w:type="dxa"/>
            <w:tcBorders>
              <w:top w:val="nil"/>
            </w:tcBorders>
          </w:tcPr>
          <w:p w14:paraId="1902BF64" w14:textId="77777777" w:rsidR="00EB56D6" w:rsidRPr="00AA67B0" w:rsidRDefault="004D1F5E">
            <w:pPr>
              <w:jc w:val="center"/>
              <w:rPr>
                <w:color w:val="000000" w:themeColor="text1"/>
              </w:rPr>
            </w:pPr>
            <w:r w:rsidRPr="00AA67B0">
              <w:rPr>
                <w:color w:val="000000" w:themeColor="text1"/>
              </w:rPr>
              <w:t>.029</w:t>
            </w:r>
          </w:p>
        </w:tc>
      </w:tr>
      <w:tr w:rsidR="00EB56D6" w:rsidRPr="00AA67B0" w14:paraId="5B7597AD" w14:textId="77777777">
        <w:trPr>
          <w:trHeight w:val="280"/>
        </w:trPr>
        <w:tc>
          <w:tcPr>
            <w:tcW w:w="2761" w:type="dxa"/>
            <w:tcBorders>
              <w:right w:val="single" w:sz="4" w:space="0" w:color="000000"/>
            </w:tcBorders>
          </w:tcPr>
          <w:p w14:paraId="3AAFE266" w14:textId="77777777" w:rsidR="00EB56D6" w:rsidRPr="00AA67B0" w:rsidRDefault="004D1F5E">
            <w:pPr>
              <w:rPr>
                <w:color w:val="000000" w:themeColor="text1"/>
              </w:rPr>
            </w:pPr>
            <w:r w:rsidRPr="00AA67B0">
              <w:rPr>
                <w:color w:val="000000" w:themeColor="text1"/>
              </w:rPr>
              <w:t>Adjusted R</w:t>
            </w:r>
            <w:r w:rsidRPr="00AA67B0">
              <w:rPr>
                <w:color w:val="000000" w:themeColor="text1"/>
                <w:vertAlign w:val="superscript"/>
              </w:rPr>
              <w:t>2</w:t>
            </w:r>
          </w:p>
        </w:tc>
        <w:tc>
          <w:tcPr>
            <w:tcW w:w="1396" w:type="dxa"/>
            <w:tcBorders>
              <w:left w:val="single" w:sz="4" w:space="0" w:color="000000"/>
            </w:tcBorders>
            <w:vAlign w:val="center"/>
          </w:tcPr>
          <w:p w14:paraId="088D2B4A" w14:textId="77777777" w:rsidR="00EB56D6" w:rsidRPr="00AA67B0" w:rsidRDefault="004D1F5E">
            <w:pPr>
              <w:jc w:val="center"/>
              <w:rPr>
                <w:color w:val="000000" w:themeColor="text1"/>
              </w:rPr>
            </w:pPr>
            <w:r w:rsidRPr="00AA67B0">
              <w:rPr>
                <w:color w:val="000000" w:themeColor="text1"/>
              </w:rPr>
              <w:t>.032</w:t>
            </w:r>
          </w:p>
        </w:tc>
        <w:tc>
          <w:tcPr>
            <w:tcW w:w="1075" w:type="dxa"/>
            <w:vAlign w:val="center"/>
          </w:tcPr>
          <w:p w14:paraId="2AC26D42" w14:textId="77777777" w:rsidR="00EB56D6" w:rsidRPr="00AA67B0" w:rsidRDefault="004D1F5E">
            <w:pPr>
              <w:jc w:val="center"/>
              <w:rPr>
                <w:color w:val="000000" w:themeColor="text1"/>
              </w:rPr>
            </w:pPr>
            <w:r w:rsidRPr="00AA67B0">
              <w:rPr>
                <w:color w:val="000000" w:themeColor="text1"/>
              </w:rPr>
              <w:t>.036</w:t>
            </w:r>
          </w:p>
        </w:tc>
        <w:tc>
          <w:tcPr>
            <w:tcW w:w="1571" w:type="dxa"/>
            <w:tcBorders>
              <w:right w:val="single" w:sz="4" w:space="0" w:color="000000"/>
            </w:tcBorders>
            <w:vAlign w:val="center"/>
          </w:tcPr>
          <w:p w14:paraId="7FE6395D" w14:textId="77777777" w:rsidR="00EB56D6" w:rsidRPr="00AA67B0" w:rsidRDefault="004D1F5E">
            <w:pPr>
              <w:jc w:val="center"/>
              <w:rPr>
                <w:color w:val="000000" w:themeColor="text1"/>
              </w:rPr>
            </w:pPr>
            <w:r w:rsidRPr="00AA67B0">
              <w:rPr>
                <w:color w:val="000000" w:themeColor="text1"/>
              </w:rPr>
              <w:t>.052</w:t>
            </w:r>
          </w:p>
        </w:tc>
        <w:tc>
          <w:tcPr>
            <w:tcW w:w="1294" w:type="dxa"/>
            <w:tcBorders>
              <w:left w:val="single" w:sz="4" w:space="0" w:color="000000"/>
            </w:tcBorders>
          </w:tcPr>
          <w:p w14:paraId="3E33B46C" w14:textId="77777777" w:rsidR="00EB56D6" w:rsidRPr="00AA67B0" w:rsidRDefault="004D1F5E">
            <w:pPr>
              <w:jc w:val="center"/>
              <w:rPr>
                <w:color w:val="000000" w:themeColor="text1"/>
              </w:rPr>
            </w:pPr>
            <w:r w:rsidRPr="00AA67B0">
              <w:rPr>
                <w:color w:val="000000" w:themeColor="text1"/>
              </w:rPr>
              <w:t>.015</w:t>
            </w:r>
          </w:p>
        </w:tc>
        <w:tc>
          <w:tcPr>
            <w:tcW w:w="1294" w:type="dxa"/>
          </w:tcPr>
          <w:p w14:paraId="609D7504" w14:textId="77777777" w:rsidR="00EB56D6" w:rsidRPr="00AA67B0" w:rsidRDefault="004D1F5E">
            <w:pPr>
              <w:jc w:val="center"/>
              <w:rPr>
                <w:color w:val="000000" w:themeColor="text1"/>
              </w:rPr>
            </w:pPr>
            <w:r w:rsidRPr="00AA67B0">
              <w:rPr>
                <w:color w:val="000000" w:themeColor="text1"/>
              </w:rPr>
              <w:t>.016</w:t>
            </w:r>
          </w:p>
        </w:tc>
        <w:tc>
          <w:tcPr>
            <w:tcW w:w="1297" w:type="dxa"/>
            <w:tcBorders>
              <w:right w:val="single" w:sz="4" w:space="0" w:color="000000"/>
            </w:tcBorders>
          </w:tcPr>
          <w:p w14:paraId="139EF5DE" w14:textId="77777777" w:rsidR="00EB56D6" w:rsidRPr="00AA67B0" w:rsidRDefault="004D1F5E">
            <w:pPr>
              <w:jc w:val="center"/>
              <w:rPr>
                <w:color w:val="000000" w:themeColor="text1"/>
              </w:rPr>
            </w:pPr>
            <w:r w:rsidRPr="00AA67B0">
              <w:rPr>
                <w:color w:val="000000" w:themeColor="text1"/>
              </w:rPr>
              <w:t>.069</w:t>
            </w:r>
          </w:p>
        </w:tc>
        <w:tc>
          <w:tcPr>
            <w:tcW w:w="1294" w:type="dxa"/>
            <w:tcBorders>
              <w:left w:val="single" w:sz="4" w:space="0" w:color="000000"/>
            </w:tcBorders>
          </w:tcPr>
          <w:p w14:paraId="544B1034" w14:textId="77777777" w:rsidR="00EB56D6" w:rsidRPr="00AA67B0" w:rsidRDefault="004D1F5E">
            <w:pPr>
              <w:jc w:val="center"/>
              <w:rPr>
                <w:color w:val="000000" w:themeColor="text1"/>
              </w:rPr>
            </w:pPr>
            <w:r w:rsidRPr="00AA67B0">
              <w:rPr>
                <w:color w:val="000000" w:themeColor="text1"/>
              </w:rPr>
              <w:t>.003</w:t>
            </w:r>
          </w:p>
        </w:tc>
        <w:tc>
          <w:tcPr>
            <w:tcW w:w="1294" w:type="dxa"/>
          </w:tcPr>
          <w:p w14:paraId="5EB96A77" w14:textId="77777777" w:rsidR="00EB56D6" w:rsidRPr="00AA67B0" w:rsidRDefault="004D1F5E">
            <w:pPr>
              <w:jc w:val="center"/>
              <w:rPr>
                <w:color w:val="000000" w:themeColor="text1"/>
              </w:rPr>
            </w:pPr>
            <w:r w:rsidRPr="00AA67B0">
              <w:rPr>
                <w:color w:val="000000" w:themeColor="text1"/>
              </w:rPr>
              <w:t>.003</w:t>
            </w:r>
          </w:p>
        </w:tc>
        <w:tc>
          <w:tcPr>
            <w:tcW w:w="1294" w:type="dxa"/>
          </w:tcPr>
          <w:p w14:paraId="0A362D54" w14:textId="77777777" w:rsidR="00EB56D6" w:rsidRPr="00AA67B0" w:rsidRDefault="004D1F5E">
            <w:pPr>
              <w:jc w:val="center"/>
              <w:rPr>
                <w:color w:val="000000" w:themeColor="text1"/>
              </w:rPr>
            </w:pPr>
            <w:r w:rsidRPr="00AA67B0">
              <w:rPr>
                <w:color w:val="000000" w:themeColor="text1"/>
              </w:rPr>
              <w:t>.021</w:t>
            </w:r>
          </w:p>
        </w:tc>
      </w:tr>
      <w:tr w:rsidR="00EB56D6" w:rsidRPr="00AA67B0" w14:paraId="679153E4" w14:textId="77777777">
        <w:trPr>
          <w:trHeight w:val="280"/>
        </w:trPr>
        <w:tc>
          <w:tcPr>
            <w:tcW w:w="2761" w:type="dxa"/>
            <w:tcBorders>
              <w:bottom w:val="single" w:sz="4" w:space="0" w:color="000000"/>
              <w:right w:val="single" w:sz="4" w:space="0" w:color="000000"/>
            </w:tcBorders>
          </w:tcPr>
          <w:p w14:paraId="4948AF79" w14:textId="77777777" w:rsidR="00EB56D6" w:rsidRPr="00AA67B0" w:rsidRDefault="004D1F5E">
            <w:pPr>
              <w:rPr>
                <w:color w:val="000000" w:themeColor="text1"/>
                <w:vertAlign w:val="subscript"/>
              </w:rPr>
            </w:pPr>
            <w:r w:rsidRPr="00AA67B0">
              <w:rPr>
                <w:color w:val="000000" w:themeColor="text1"/>
              </w:rPr>
              <w:t>R</w:t>
            </w:r>
            <w:r w:rsidRPr="00AA67B0">
              <w:rPr>
                <w:color w:val="000000" w:themeColor="text1"/>
                <w:vertAlign w:val="superscript"/>
              </w:rPr>
              <w:t>2</w:t>
            </w:r>
            <w:r w:rsidRPr="00AA67B0">
              <w:rPr>
                <w:color w:val="000000" w:themeColor="text1"/>
                <w:vertAlign w:val="subscript"/>
              </w:rPr>
              <w:t>-</w:t>
            </w:r>
            <w:r w:rsidRPr="00AA67B0">
              <w:rPr>
                <w:color w:val="000000" w:themeColor="text1"/>
              </w:rPr>
              <w:t>changes</w:t>
            </w:r>
          </w:p>
        </w:tc>
        <w:tc>
          <w:tcPr>
            <w:tcW w:w="1396" w:type="dxa"/>
            <w:tcBorders>
              <w:left w:val="single" w:sz="4" w:space="0" w:color="000000"/>
            </w:tcBorders>
            <w:vAlign w:val="center"/>
          </w:tcPr>
          <w:p w14:paraId="048096D1" w14:textId="77777777" w:rsidR="00EB56D6" w:rsidRPr="00AA67B0" w:rsidRDefault="004D1F5E">
            <w:pPr>
              <w:jc w:val="center"/>
              <w:rPr>
                <w:color w:val="000000" w:themeColor="text1"/>
              </w:rPr>
            </w:pPr>
            <w:r w:rsidRPr="00AA67B0">
              <w:rPr>
                <w:color w:val="000000" w:themeColor="text1"/>
              </w:rPr>
              <w:t>.035</w:t>
            </w:r>
          </w:p>
        </w:tc>
        <w:tc>
          <w:tcPr>
            <w:tcW w:w="1075" w:type="dxa"/>
            <w:vAlign w:val="center"/>
          </w:tcPr>
          <w:p w14:paraId="54268BF1" w14:textId="77777777" w:rsidR="00EB56D6" w:rsidRPr="00AA67B0" w:rsidRDefault="004D1F5E">
            <w:pPr>
              <w:jc w:val="center"/>
              <w:rPr>
                <w:color w:val="000000" w:themeColor="text1"/>
              </w:rPr>
            </w:pPr>
            <w:r w:rsidRPr="00AA67B0">
              <w:rPr>
                <w:color w:val="000000" w:themeColor="text1"/>
              </w:rPr>
              <w:t>.006</w:t>
            </w:r>
          </w:p>
        </w:tc>
        <w:tc>
          <w:tcPr>
            <w:tcW w:w="1571" w:type="dxa"/>
            <w:tcBorders>
              <w:right w:val="single" w:sz="4" w:space="0" w:color="000000"/>
            </w:tcBorders>
            <w:vAlign w:val="center"/>
          </w:tcPr>
          <w:p w14:paraId="65D38958" w14:textId="77777777" w:rsidR="00EB56D6" w:rsidRPr="00AA67B0" w:rsidRDefault="004D1F5E">
            <w:pPr>
              <w:jc w:val="center"/>
              <w:rPr>
                <w:color w:val="000000" w:themeColor="text1"/>
              </w:rPr>
            </w:pPr>
            <w:r w:rsidRPr="00AA67B0">
              <w:rPr>
                <w:color w:val="000000" w:themeColor="text1"/>
              </w:rPr>
              <w:t>.019</w:t>
            </w:r>
          </w:p>
        </w:tc>
        <w:tc>
          <w:tcPr>
            <w:tcW w:w="1294" w:type="dxa"/>
            <w:tcBorders>
              <w:left w:val="single" w:sz="4" w:space="0" w:color="000000"/>
              <w:bottom w:val="single" w:sz="4" w:space="0" w:color="000000"/>
            </w:tcBorders>
          </w:tcPr>
          <w:p w14:paraId="7F48EB47" w14:textId="77777777" w:rsidR="00EB56D6" w:rsidRPr="00AA67B0" w:rsidRDefault="004D1F5E">
            <w:pPr>
              <w:jc w:val="center"/>
              <w:rPr>
                <w:color w:val="000000" w:themeColor="text1"/>
              </w:rPr>
            </w:pPr>
            <w:r w:rsidRPr="00AA67B0">
              <w:rPr>
                <w:color w:val="000000" w:themeColor="text1"/>
              </w:rPr>
              <w:t>.018</w:t>
            </w:r>
          </w:p>
        </w:tc>
        <w:tc>
          <w:tcPr>
            <w:tcW w:w="1294" w:type="dxa"/>
            <w:tcBorders>
              <w:bottom w:val="single" w:sz="4" w:space="0" w:color="000000"/>
            </w:tcBorders>
          </w:tcPr>
          <w:p w14:paraId="2B76FBBB" w14:textId="77777777" w:rsidR="00EB56D6" w:rsidRPr="00AA67B0" w:rsidRDefault="004D1F5E">
            <w:pPr>
              <w:jc w:val="center"/>
              <w:rPr>
                <w:color w:val="000000" w:themeColor="text1"/>
              </w:rPr>
            </w:pPr>
            <w:r w:rsidRPr="00AA67B0">
              <w:rPr>
                <w:color w:val="000000" w:themeColor="text1"/>
              </w:rPr>
              <w:t>.002</w:t>
            </w:r>
          </w:p>
        </w:tc>
        <w:tc>
          <w:tcPr>
            <w:tcW w:w="1297" w:type="dxa"/>
            <w:tcBorders>
              <w:bottom w:val="single" w:sz="4" w:space="0" w:color="000000"/>
              <w:right w:val="single" w:sz="4" w:space="0" w:color="000000"/>
            </w:tcBorders>
          </w:tcPr>
          <w:p w14:paraId="0EA3EF02" w14:textId="77777777" w:rsidR="00EB56D6" w:rsidRPr="00AA67B0" w:rsidRDefault="004D1F5E">
            <w:pPr>
              <w:jc w:val="center"/>
              <w:rPr>
                <w:color w:val="000000" w:themeColor="text1"/>
              </w:rPr>
            </w:pPr>
            <w:r w:rsidRPr="00AA67B0">
              <w:rPr>
                <w:color w:val="000000" w:themeColor="text1"/>
              </w:rPr>
              <w:t>.056</w:t>
            </w:r>
          </w:p>
        </w:tc>
        <w:tc>
          <w:tcPr>
            <w:tcW w:w="1294" w:type="dxa"/>
            <w:tcBorders>
              <w:left w:val="single" w:sz="4" w:space="0" w:color="000000"/>
            </w:tcBorders>
          </w:tcPr>
          <w:p w14:paraId="4214CA70" w14:textId="77777777" w:rsidR="00EB56D6" w:rsidRPr="00AA67B0" w:rsidRDefault="004D1F5E">
            <w:pPr>
              <w:jc w:val="center"/>
              <w:rPr>
                <w:color w:val="000000" w:themeColor="text1"/>
              </w:rPr>
            </w:pPr>
            <w:r w:rsidRPr="00AA67B0">
              <w:rPr>
                <w:color w:val="000000" w:themeColor="text1"/>
              </w:rPr>
              <w:t>.006</w:t>
            </w:r>
          </w:p>
        </w:tc>
        <w:tc>
          <w:tcPr>
            <w:tcW w:w="1294" w:type="dxa"/>
          </w:tcPr>
          <w:p w14:paraId="32A6F2B2" w14:textId="77777777" w:rsidR="00EB56D6" w:rsidRPr="00AA67B0" w:rsidRDefault="004D1F5E">
            <w:pPr>
              <w:jc w:val="center"/>
              <w:rPr>
                <w:color w:val="000000" w:themeColor="text1"/>
              </w:rPr>
            </w:pPr>
            <w:r w:rsidRPr="00AA67B0">
              <w:rPr>
                <w:color w:val="000000" w:themeColor="text1"/>
              </w:rPr>
              <w:t>.002</w:t>
            </w:r>
          </w:p>
        </w:tc>
        <w:tc>
          <w:tcPr>
            <w:tcW w:w="1294" w:type="dxa"/>
          </w:tcPr>
          <w:p w14:paraId="49B95F7E" w14:textId="77777777" w:rsidR="00EB56D6" w:rsidRPr="00AA67B0" w:rsidRDefault="004D1F5E">
            <w:pPr>
              <w:jc w:val="center"/>
              <w:rPr>
                <w:color w:val="000000" w:themeColor="text1"/>
              </w:rPr>
            </w:pPr>
            <w:r w:rsidRPr="00AA67B0">
              <w:rPr>
                <w:color w:val="000000" w:themeColor="text1"/>
              </w:rPr>
              <w:t>.021</w:t>
            </w:r>
          </w:p>
        </w:tc>
      </w:tr>
    </w:tbl>
    <w:p w14:paraId="4D4C39FA" w14:textId="77777777" w:rsidR="00570005" w:rsidRPr="00AA67B0" w:rsidRDefault="009E4F3A">
      <w:pPr>
        <w:rPr>
          <w:rFonts w:ascii="Times New Roman" w:eastAsia="Times New Roman" w:hAnsi="Times New Roman" w:cs="Times New Roman"/>
          <w:color w:val="000000" w:themeColor="text1"/>
          <w:sz w:val="20"/>
          <w:szCs w:val="24"/>
        </w:rPr>
        <w:sectPr w:rsidR="00570005" w:rsidRPr="00AA67B0" w:rsidSect="00570005">
          <w:pgSz w:w="16838" w:h="11906" w:orient="landscape"/>
          <w:pgMar w:top="1134" w:right="1134" w:bottom="1134" w:left="1134" w:header="709" w:footer="709" w:gutter="0"/>
          <w:cols w:space="720"/>
          <w:docGrid w:linePitch="299"/>
        </w:sectPr>
      </w:pPr>
      <w:r w:rsidRPr="00AA67B0">
        <w:rPr>
          <w:rFonts w:ascii="Times New Roman" w:eastAsia="Times New Roman" w:hAnsi="Times New Roman" w:cs="Times New Roman"/>
          <w:color w:val="000000" w:themeColor="text1"/>
          <w:sz w:val="20"/>
          <w:szCs w:val="24"/>
        </w:rPr>
        <w:t>* p&lt;.05; ** p&lt;.01; *** p&lt;.001</w:t>
      </w:r>
    </w:p>
    <w:p w14:paraId="00591819" w14:textId="77777777" w:rsidR="00EB56D6" w:rsidRPr="00AA67B0" w:rsidRDefault="004D1F5E">
      <w:pPr>
        <w:spacing w:after="0" w:line="360" w:lineRule="auto"/>
        <w:rPr>
          <w:rFonts w:ascii="Times New Roman" w:eastAsia="Times New Roman" w:hAnsi="Times New Roman" w:cs="Times New Roman"/>
          <w:b/>
          <w:color w:val="000000" w:themeColor="text1"/>
          <w:sz w:val="24"/>
          <w:szCs w:val="24"/>
        </w:rPr>
      </w:pPr>
      <w:r w:rsidRPr="00AA67B0">
        <w:rPr>
          <w:rFonts w:ascii="Times New Roman" w:eastAsia="Times New Roman" w:hAnsi="Times New Roman" w:cs="Times New Roman"/>
          <w:b/>
          <w:color w:val="000000" w:themeColor="text1"/>
          <w:sz w:val="24"/>
          <w:szCs w:val="24"/>
        </w:rPr>
        <w:lastRenderedPageBreak/>
        <w:t>Discussion</w:t>
      </w:r>
    </w:p>
    <w:p w14:paraId="74FE1640" w14:textId="77777777" w:rsidR="00595EF6" w:rsidRPr="00AA67B0" w:rsidRDefault="00595EF6">
      <w:pPr>
        <w:spacing w:after="0" w:line="360" w:lineRule="auto"/>
        <w:rPr>
          <w:rFonts w:ascii="Times New Roman" w:eastAsia="Times New Roman" w:hAnsi="Times New Roman" w:cs="Times New Roman"/>
          <w:color w:val="000000" w:themeColor="text1"/>
          <w:sz w:val="24"/>
          <w:szCs w:val="24"/>
        </w:rPr>
      </w:pPr>
    </w:p>
    <w:p w14:paraId="52A884AB" w14:textId="6B809F64" w:rsidR="00EB56D6" w:rsidRPr="00AA67B0" w:rsidRDefault="004D1F5E" w:rsidP="008B0A11">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The objective of this study was to estimate the prevalence of burnout syndrome in a sample of Spanish social workers and to explore the impact of socio-demographic characteristics on the different dimensions of burnout. In relation to the first hypothesis of the study, the results present a worrying </w:t>
      </w:r>
      <w:r w:rsidR="00EE2F8C" w:rsidRPr="00AA67B0">
        <w:rPr>
          <w:rFonts w:ascii="Times New Roman" w:eastAsia="Times New Roman" w:hAnsi="Times New Roman" w:cs="Times New Roman"/>
          <w:color w:val="000000" w:themeColor="text1"/>
          <w:sz w:val="24"/>
          <w:szCs w:val="24"/>
        </w:rPr>
        <w:t xml:space="preserve">picture </w:t>
      </w:r>
      <w:r w:rsidRPr="00AA67B0">
        <w:rPr>
          <w:rFonts w:ascii="Times New Roman" w:eastAsia="Times New Roman" w:hAnsi="Times New Roman" w:cs="Times New Roman"/>
          <w:color w:val="000000" w:themeColor="text1"/>
          <w:sz w:val="24"/>
          <w:szCs w:val="24"/>
        </w:rPr>
        <w:t>regarding the levels of burnout among Spanish social workers. The main concern is the finding that 33.2% and 22.1% of Spanish social workers experience high levels of EE and DP. At the same time, 54.2% experience low PA at work.</w:t>
      </w:r>
    </w:p>
    <w:p w14:paraId="25F6803F" w14:textId="77777777" w:rsidR="00EB56D6" w:rsidRPr="00AA67B0" w:rsidRDefault="004D1F5E" w:rsidP="008B0A11">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It was found that health status (Hypothesis 2a) was associated with burnout. The results revealed that social workers who had been off work had a greater degree of EE and DP, as well as a lower PA. Suffering chronic disease was associated with higher EE.</w:t>
      </w:r>
    </w:p>
    <w:p w14:paraId="7CA2A87B" w14:textId="406FB710" w:rsidR="00EB56D6" w:rsidRPr="00AA67B0" w:rsidRDefault="004D1F5E" w:rsidP="008B0A11">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The presence of children</w:t>
      </w:r>
      <w:r w:rsidR="008322AF" w:rsidRPr="00AA67B0">
        <w:rPr>
          <w:rFonts w:ascii="Times New Roman" w:eastAsia="Times New Roman" w:hAnsi="Times New Roman" w:cs="Times New Roman"/>
          <w:color w:val="000000" w:themeColor="text1"/>
          <w:sz w:val="24"/>
          <w:szCs w:val="24"/>
        </w:rPr>
        <w:t xml:space="preserve"> in the home</w:t>
      </w:r>
      <w:r w:rsidRPr="00AA67B0">
        <w:rPr>
          <w:rFonts w:ascii="Times New Roman" w:eastAsia="Times New Roman" w:hAnsi="Times New Roman" w:cs="Times New Roman"/>
          <w:color w:val="000000" w:themeColor="text1"/>
          <w:sz w:val="24"/>
          <w:szCs w:val="24"/>
        </w:rPr>
        <w:t xml:space="preserve"> (Hypothesis 2b) was</w:t>
      </w:r>
      <w:r w:rsidR="00DD3384" w:rsidRPr="00AA67B0">
        <w:rPr>
          <w:rFonts w:ascii="Times New Roman" w:eastAsia="Times New Roman" w:hAnsi="Times New Roman" w:cs="Times New Roman"/>
          <w:color w:val="000000" w:themeColor="text1"/>
          <w:sz w:val="24"/>
          <w:szCs w:val="24"/>
        </w:rPr>
        <w:t xml:space="preserve"> </w:t>
      </w:r>
      <w:r w:rsidRPr="00AA67B0">
        <w:rPr>
          <w:rFonts w:ascii="Times New Roman" w:eastAsia="Times New Roman" w:hAnsi="Times New Roman" w:cs="Times New Roman"/>
          <w:color w:val="000000" w:themeColor="text1"/>
          <w:sz w:val="24"/>
          <w:szCs w:val="24"/>
        </w:rPr>
        <w:t>associated with a lower EE risk.</w:t>
      </w:r>
    </w:p>
    <w:p w14:paraId="07266E59" w14:textId="5C8EC9AC" w:rsidR="00EB56D6" w:rsidRPr="00AA67B0" w:rsidRDefault="004D1F5E" w:rsidP="008B0A11">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Finally, the population sector</w:t>
      </w:r>
      <w:r w:rsidR="008322AF" w:rsidRPr="00AA67B0">
        <w:rPr>
          <w:rFonts w:ascii="Times New Roman" w:eastAsia="Times New Roman" w:hAnsi="Times New Roman" w:cs="Times New Roman"/>
          <w:color w:val="000000" w:themeColor="text1"/>
          <w:sz w:val="24"/>
          <w:szCs w:val="24"/>
        </w:rPr>
        <w:t xml:space="preserve"> served</w:t>
      </w:r>
      <w:r w:rsidRPr="00AA67B0">
        <w:rPr>
          <w:rFonts w:ascii="Times New Roman" w:eastAsia="Times New Roman" w:hAnsi="Times New Roman" w:cs="Times New Roman"/>
          <w:color w:val="000000" w:themeColor="text1"/>
          <w:sz w:val="24"/>
          <w:szCs w:val="24"/>
        </w:rPr>
        <w:t xml:space="preserve">, </w:t>
      </w:r>
      <w:r w:rsidR="008322AF" w:rsidRPr="00AA67B0">
        <w:rPr>
          <w:rFonts w:ascii="Times New Roman" w:eastAsia="Times New Roman" w:hAnsi="Times New Roman" w:cs="Times New Roman"/>
          <w:color w:val="000000" w:themeColor="text1"/>
          <w:sz w:val="24"/>
          <w:szCs w:val="24"/>
        </w:rPr>
        <w:t>employment status</w:t>
      </w:r>
      <w:r w:rsidRPr="00AA67B0">
        <w:rPr>
          <w:rFonts w:ascii="Times New Roman" w:eastAsia="Times New Roman" w:hAnsi="Times New Roman" w:cs="Times New Roman"/>
          <w:color w:val="000000" w:themeColor="text1"/>
          <w:sz w:val="24"/>
          <w:szCs w:val="24"/>
        </w:rPr>
        <w:t xml:space="preserve"> (part-time or full-time) and </w:t>
      </w:r>
      <w:r w:rsidR="00130A58" w:rsidRPr="00AA67B0">
        <w:rPr>
          <w:rFonts w:ascii="Times New Roman" w:eastAsia="Times New Roman" w:hAnsi="Times New Roman" w:cs="Times New Roman"/>
          <w:color w:val="000000" w:themeColor="text1"/>
          <w:sz w:val="24"/>
          <w:szCs w:val="24"/>
        </w:rPr>
        <w:t xml:space="preserve">public or private </w:t>
      </w:r>
      <w:r w:rsidRPr="00AA67B0">
        <w:rPr>
          <w:rFonts w:ascii="Times New Roman" w:eastAsia="Times New Roman" w:hAnsi="Times New Roman" w:cs="Times New Roman"/>
          <w:color w:val="000000" w:themeColor="text1"/>
          <w:sz w:val="24"/>
          <w:szCs w:val="24"/>
        </w:rPr>
        <w:t xml:space="preserve">sector (Hypothesis 2c) were also associated with  different </w:t>
      </w:r>
      <w:r w:rsidR="00BA75B8" w:rsidRPr="00AA67B0">
        <w:rPr>
          <w:rFonts w:ascii="Times New Roman" w:eastAsia="Times New Roman" w:hAnsi="Times New Roman" w:cs="Times New Roman"/>
          <w:color w:val="000000" w:themeColor="text1"/>
          <w:sz w:val="24"/>
          <w:szCs w:val="24"/>
        </w:rPr>
        <w:t xml:space="preserve">levels of </w:t>
      </w:r>
      <w:r w:rsidRPr="00AA67B0">
        <w:rPr>
          <w:rFonts w:ascii="Times New Roman" w:eastAsia="Times New Roman" w:hAnsi="Times New Roman" w:cs="Times New Roman"/>
          <w:color w:val="000000" w:themeColor="text1"/>
          <w:sz w:val="24"/>
          <w:szCs w:val="24"/>
        </w:rPr>
        <w:t>burnout. Developing professional activity in speciali</w:t>
      </w:r>
      <w:r w:rsidR="00DD3384" w:rsidRPr="00AA67B0">
        <w:rPr>
          <w:rFonts w:ascii="Times New Roman" w:eastAsia="Times New Roman" w:hAnsi="Times New Roman" w:cs="Times New Roman"/>
          <w:color w:val="000000" w:themeColor="text1"/>
          <w:sz w:val="24"/>
          <w:szCs w:val="24"/>
        </w:rPr>
        <w:t>s</w:t>
      </w:r>
      <w:r w:rsidRPr="00AA67B0">
        <w:rPr>
          <w:rFonts w:ascii="Times New Roman" w:eastAsia="Times New Roman" w:hAnsi="Times New Roman" w:cs="Times New Roman"/>
          <w:color w:val="000000" w:themeColor="text1"/>
          <w:sz w:val="24"/>
          <w:szCs w:val="24"/>
        </w:rPr>
        <w:t xml:space="preserve">ed social services (elderly, mental health, education, children and family, etc.) was associated with a lower risk of EE and PD and with a higher degree of PA than workers who worked in community social services. Full-time </w:t>
      </w:r>
      <w:r w:rsidR="00130A58" w:rsidRPr="00AA67B0">
        <w:rPr>
          <w:rFonts w:ascii="Times New Roman" w:eastAsia="Times New Roman" w:hAnsi="Times New Roman" w:cs="Times New Roman"/>
          <w:color w:val="000000" w:themeColor="text1"/>
          <w:sz w:val="24"/>
          <w:szCs w:val="24"/>
        </w:rPr>
        <w:t>employment</w:t>
      </w:r>
      <w:r w:rsidR="003D43B5" w:rsidRPr="00AA67B0">
        <w:rPr>
          <w:rFonts w:ascii="Times New Roman" w:eastAsia="Times New Roman" w:hAnsi="Times New Roman" w:cs="Times New Roman"/>
          <w:color w:val="000000" w:themeColor="text1"/>
          <w:sz w:val="24"/>
          <w:szCs w:val="24"/>
        </w:rPr>
        <w:t xml:space="preserve"> </w:t>
      </w:r>
      <w:r w:rsidRPr="00AA67B0">
        <w:rPr>
          <w:rFonts w:ascii="Times New Roman" w:eastAsia="Times New Roman" w:hAnsi="Times New Roman" w:cs="Times New Roman"/>
          <w:color w:val="000000" w:themeColor="text1"/>
          <w:sz w:val="24"/>
          <w:szCs w:val="24"/>
        </w:rPr>
        <w:t xml:space="preserve">was associated with higher DP values ​​than those </w:t>
      </w:r>
      <w:r w:rsidR="003D43B5" w:rsidRPr="00AA67B0">
        <w:rPr>
          <w:rFonts w:ascii="Times New Roman" w:eastAsia="Times New Roman" w:hAnsi="Times New Roman" w:cs="Times New Roman"/>
          <w:color w:val="000000" w:themeColor="text1"/>
          <w:sz w:val="24"/>
          <w:szCs w:val="24"/>
        </w:rPr>
        <w:t xml:space="preserve">in </w:t>
      </w:r>
      <w:r w:rsidRPr="00AA67B0">
        <w:rPr>
          <w:rFonts w:ascii="Times New Roman" w:eastAsia="Times New Roman" w:hAnsi="Times New Roman" w:cs="Times New Roman"/>
          <w:color w:val="000000" w:themeColor="text1"/>
          <w:sz w:val="24"/>
          <w:szCs w:val="24"/>
        </w:rPr>
        <w:t xml:space="preserve">part-time </w:t>
      </w:r>
      <w:r w:rsidR="008322AF" w:rsidRPr="00AA67B0">
        <w:rPr>
          <w:rFonts w:ascii="Times New Roman" w:eastAsia="Times New Roman" w:hAnsi="Times New Roman" w:cs="Times New Roman"/>
          <w:color w:val="000000" w:themeColor="text1"/>
          <w:sz w:val="24"/>
          <w:szCs w:val="24"/>
        </w:rPr>
        <w:t>employment</w:t>
      </w:r>
      <w:r w:rsidRPr="00AA67B0">
        <w:rPr>
          <w:rFonts w:ascii="Times New Roman" w:eastAsia="Times New Roman" w:hAnsi="Times New Roman" w:cs="Times New Roman"/>
          <w:color w:val="000000" w:themeColor="text1"/>
          <w:sz w:val="24"/>
          <w:szCs w:val="24"/>
        </w:rPr>
        <w:t xml:space="preserve">. </w:t>
      </w:r>
      <w:r w:rsidR="003D43B5" w:rsidRPr="00AA67B0">
        <w:rPr>
          <w:rFonts w:ascii="Times New Roman" w:eastAsia="Times New Roman" w:hAnsi="Times New Roman" w:cs="Times New Roman"/>
          <w:color w:val="000000" w:themeColor="text1"/>
          <w:sz w:val="24"/>
          <w:szCs w:val="24"/>
        </w:rPr>
        <w:t>Working</w:t>
      </w:r>
      <w:r w:rsidRPr="00AA67B0">
        <w:rPr>
          <w:rFonts w:ascii="Times New Roman" w:eastAsia="Times New Roman" w:hAnsi="Times New Roman" w:cs="Times New Roman"/>
          <w:color w:val="000000" w:themeColor="text1"/>
          <w:sz w:val="24"/>
          <w:szCs w:val="24"/>
        </w:rPr>
        <w:t xml:space="preserve"> in private organi</w:t>
      </w:r>
      <w:r w:rsidR="00DD3384" w:rsidRPr="00AA67B0">
        <w:rPr>
          <w:rFonts w:ascii="Times New Roman" w:eastAsia="Times New Roman" w:hAnsi="Times New Roman" w:cs="Times New Roman"/>
          <w:color w:val="000000" w:themeColor="text1"/>
          <w:sz w:val="24"/>
          <w:szCs w:val="24"/>
        </w:rPr>
        <w:t>s</w:t>
      </w:r>
      <w:r w:rsidRPr="00AA67B0">
        <w:rPr>
          <w:rFonts w:ascii="Times New Roman" w:eastAsia="Times New Roman" w:hAnsi="Times New Roman" w:cs="Times New Roman"/>
          <w:color w:val="000000" w:themeColor="text1"/>
          <w:sz w:val="24"/>
          <w:szCs w:val="24"/>
        </w:rPr>
        <w:t>ations was associated with higher values ​​</w:t>
      </w:r>
      <w:r w:rsidR="003D43B5" w:rsidRPr="00AA67B0">
        <w:rPr>
          <w:rFonts w:ascii="Times New Roman" w:eastAsia="Times New Roman" w:hAnsi="Times New Roman" w:cs="Times New Roman"/>
          <w:color w:val="000000" w:themeColor="text1"/>
          <w:sz w:val="24"/>
          <w:szCs w:val="24"/>
        </w:rPr>
        <w:t xml:space="preserve">of </w:t>
      </w:r>
      <w:r w:rsidRPr="00AA67B0">
        <w:rPr>
          <w:rFonts w:ascii="Times New Roman" w:eastAsia="Times New Roman" w:hAnsi="Times New Roman" w:cs="Times New Roman"/>
          <w:color w:val="000000" w:themeColor="text1"/>
          <w:sz w:val="24"/>
          <w:szCs w:val="24"/>
        </w:rPr>
        <w:t>PA than those in public administration.</w:t>
      </w:r>
    </w:p>
    <w:p w14:paraId="686402F4" w14:textId="77777777" w:rsidR="00EB56D6" w:rsidRPr="00AA67B0" w:rsidRDefault="00EB56D6">
      <w:pPr>
        <w:rPr>
          <w:rFonts w:ascii="Times New Roman" w:eastAsia="Times New Roman" w:hAnsi="Times New Roman" w:cs="Times New Roman"/>
          <w:color w:val="000000" w:themeColor="text1"/>
          <w:sz w:val="24"/>
          <w:szCs w:val="24"/>
        </w:rPr>
      </w:pPr>
    </w:p>
    <w:p w14:paraId="5FD23470" w14:textId="77777777" w:rsidR="00EB56D6" w:rsidRPr="00AA67B0" w:rsidRDefault="004D1F5E">
      <w:pPr>
        <w:spacing w:after="0" w:line="360" w:lineRule="auto"/>
        <w:rPr>
          <w:rFonts w:ascii="Times New Roman" w:eastAsia="Times New Roman" w:hAnsi="Times New Roman" w:cs="Times New Roman"/>
          <w:b/>
          <w:i/>
          <w:color w:val="000000" w:themeColor="text1"/>
          <w:sz w:val="24"/>
          <w:szCs w:val="24"/>
        </w:rPr>
      </w:pPr>
      <w:r w:rsidRPr="00AA67B0">
        <w:rPr>
          <w:rFonts w:ascii="Times New Roman" w:eastAsia="Times New Roman" w:hAnsi="Times New Roman" w:cs="Times New Roman"/>
          <w:b/>
          <w:i/>
          <w:color w:val="000000" w:themeColor="text1"/>
          <w:sz w:val="24"/>
          <w:szCs w:val="24"/>
        </w:rPr>
        <w:t>Implications</w:t>
      </w:r>
    </w:p>
    <w:p w14:paraId="1E3298D0" w14:textId="77777777" w:rsidR="00EB56D6" w:rsidRPr="00AA67B0" w:rsidRDefault="00EB56D6">
      <w:pPr>
        <w:spacing w:after="0" w:line="360" w:lineRule="auto"/>
        <w:rPr>
          <w:rFonts w:ascii="Times New Roman" w:eastAsia="Times New Roman" w:hAnsi="Times New Roman" w:cs="Times New Roman"/>
          <w:color w:val="000000" w:themeColor="text1"/>
          <w:sz w:val="24"/>
          <w:szCs w:val="24"/>
          <w:highlight w:val="yellow"/>
        </w:rPr>
      </w:pPr>
    </w:p>
    <w:p w14:paraId="161D1B2A" w14:textId="324E22A9" w:rsidR="00EB56D6" w:rsidRPr="00AA67B0" w:rsidRDefault="004D1F5E">
      <w:pPr>
        <w:spacing w:after="0" w:line="360" w:lineRule="auto"/>
        <w:rPr>
          <w:rFonts w:ascii="Times New Roman" w:eastAsia="Times New Roman" w:hAnsi="Times New Roman" w:cs="Times New Roman"/>
          <w:color w:val="000000" w:themeColor="text1"/>
          <w:sz w:val="24"/>
          <w:szCs w:val="24"/>
          <w:highlight w:val="yellow"/>
        </w:rPr>
      </w:pPr>
      <w:r w:rsidRPr="00AA67B0">
        <w:rPr>
          <w:rFonts w:ascii="Times New Roman" w:eastAsia="Times New Roman" w:hAnsi="Times New Roman" w:cs="Times New Roman"/>
          <w:color w:val="000000" w:themeColor="text1"/>
          <w:sz w:val="24"/>
          <w:szCs w:val="24"/>
        </w:rPr>
        <w:t xml:space="preserve">Burnout is a problem with </w:t>
      </w:r>
      <w:r w:rsidR="003D43B5" w:rsidRPr="00AA67B0">
        <w:rPr>
          <w:rFonts w:ascii="Times New Roman" w:eastAsia="Times New Roman" w:hAnsi="Times New Roman" w:cs="Times New Roman"/>
          <w:color w:val="000000" w:themeColor="text1"/>
          <w:sz w:val="24"/>
          <w:szCs w:val="24"/>
        </w:rPr>
        <w:t xml:space="preserve">wide-ranging </w:t>
      </w:r>
      <w:r w:rsidRPr="00AA67B0">
        <w:rPr>
          <w:rFonts w:ascii="Times New Roman" w:eastAsia="Times New Roman" w:hAnsi="Times New Roman" w:cs="Times New Roman"/>
          <w:color w:val="000000" w:themeColor="text1"/>
          <w:sz w:val="24"/>
          <w:szCs w:val="24"/>
        </w:rPr>
        <w:t>implications. Both private and public organi</w:t>
      </w:r>
      <w:r w:rsidR="00DD3384" w:rsidRPr="00AA67B0">
        <w:rPr>
          <w:rFonts w:ascii="Times New Roman" w:eastAsia="Times New Roman" w:hAnsi="Times New Roman" w:cs="Times New Roman"/>
          <w:color w:val="000000" w:themeColor="text1"/>
          <w:sz w:val="24"/>
          <w:szCs w:val="24"/>
        </w:rPr>
        <w:t>s</w:t>
      </w:r>
      <w:r w:rsidRPr="00AA67B0">
        <w:rPr>
          <w:rFonts w:ascii="Times New Roman" w:eastAsia="Times New Roman" w:hAnsi="Times New Roman" w:cs="Times New Roman"/>
          <w:color w:val="000000" w:themeColor="text1"/>
          <w:sz w:val="24"/>
          <w:szCs w:val="24"/>
        </w:rPr>
        <w:t>ations that employ social workers should be interested in reducing employee stress and burnout, both for ethical and practical reasons. Ethically, organi</w:t>
      </w:r>
      <w:r w:rsidR="00DD3384" w:rsidRPr="00AA67B0">
        <w:rPr>
          <w:rFonts w:ascii="Times New Roman" w:eastAsia="Times New Roman" w:hAnsi="Times New Roman" w:cs="Times New Roman"/>
          <w:color w:val="000000" w:themeColor="text1"/>
          <w:sz w:val="24"/>
          <w:szCs w:val="24"/>
        </w:rPr>
        <w:t>s</w:t>
      </w:r>
      <w:r w:rsidRPr="00AA67B0">
        <w:rPr>
          <w:rFonts w:ascii="Times New Roman" w:eastAsia="Times New Roman" w:hAnsi="Times New Roman" w:cs="Times New Roman"/>
          <w:color w:val="000000" w:themeColor="text1"/>
          <w:sz w:val="24"/>
          <w:szCs w:val="24"/>
        </w:rPr>
        <w:t>ations are obligated to protect employees from harm that results from the</w:t>
      </w:r>
      <w:r w:rsidR="00130A58" w:rsidRPr="00AA67B0">
        <w:rPr>
          <w:rFonts w:ascii="Times New Roman" w:eastAsia="Times New Roman" w:hAnsi="Times New Roman" w:cs="Times New Roman"/>
          <w:color w:val="000000" w:themeColor="text1"/>
          <w:sz w:val="24"/>
          <w:szCs w:val="24"/>
        </w:rPr>
        <w:t>ir</w:t>
      </w:r>
      <w:r w:rsidRPr="00AA67B0">
        <w:rPr>
          <w:rFonts w:ascii="Times New Roman" w:eastAsia="Times New Roman" w:hAnsi="Times New Roman" w:cs="Times New Roman"/>
          <w:color w:val="000000" w:themeColor="text1"/>
          <w:sz w:val="24"/>
          <w:szCs w:val="24"/>
        </w:rPr>
        <w:t xml:space="preserve"> </w:t>
      </w:r>
      <w:r w:rsidR="00130A58" w:rsidRPr="00AA67B0">
        <w:rPr>
          <w:rFonts w:ascii="Times New Roman" w:eastAsia="Times New Roman" w:hAnsi="Times New Roman" w:cs="Times New Roman"/>
          <w:color w:val="000000" w:themeColor="text1"/>
          <w:sz w:val="24"/>
          <w:szCs w:val="24"/>
        </w:rPr>
        <w:t>occupational</w:t>
      </w:r>
      <w:r w:rsidR="003D43B5" w:rsidRPr="00AA67B0">
        <w:rPr>
          <w:rFonts w:ascii="Times New Roman" w:eastAsia="Times New Roman" w:hAnsi="Times New Roman" w:cs="Times New Roman"/>
          <w:color w:val="000000" w:themeColor="text1"/>
          <w:sz w:val="24"/>
          <w:szCs w:val="24"/>
        </w:rPr>
        <w:t xml:space="preserve"> </w:t>
      </w:r>
      <w:r w:rsidR="00130A58" w:rsidRPr="00AA67B0">
        <w:rPr>
          <w:rFonts w:ascii="Times New Roman" w:eastAsia="Times New Roman" w:hAnsi="Times New Roman" w:cs="Times New Roman"/>
          <w:color w:val="000000" w:themeColor="text1"/>
          <w:sz w:val="24"/>
          <w:szCs w:val="24"/>
        </w:rPr>
        <w:t>activities</w:t>
      </w:r>
      <w:r w:rsidRPr="00AA67B0">
        <w:rPr>
          <w:rFonts w:ascii="Times New Roman" w:eastAsia="Times New Roman" w:hAnsi="Times New Roman" w:cs="Times New Roman"/>
          <w:color w:val="000000" w:themeColor="text1"/>
          <w:sz w:val="24"/>
          <w:szCs w:val="24"/>
        </w:rPr>
        <w:t xml:space="preserve">. </w:t>
      </w:r>
      <w:r w:rsidR="00130A58" w:rsidRPr="00AA67B0">
        <w:rPr>
          <w:rFonts w:ascii="Times New Roman" w:eastAsia="Times New Roman" w:hAnsi="Times New Roman" w:cs="Times New Roman"/>
          <w:color w:val="000000" w:themeColor="text1"/>
          <w:sz w:val="24"/>
          <w:szCs w:val="24"/>
        </w:rPr>
        <w:t>In practice</w:t>
      </w:r>
      <w:r w:rsidRPr="00AA67B0">
        <w:rPr>
          <w:rFonts w:ascii="Times New Roman" w:eastAsia="Times New Roman" w:hAnsi="Times New Roman" w:cs="Times New Roman"/>
          <w:color w:val="000000" w:themeColor="text1"/>
          <w:sz w:val="24"/>
          <w:szCs w:val="24"/>
        </w:rPr>
        <w:t xml:space="preserve">, </w:t>
      </w:r>
      <w:r w:rsidR="00130A58" w:rsidRPr="00AA67B0">
        <w:rPr>
          <w:rFonts w:ascii="Times New Roman" w:eastAsia="Times New Roman" w:hAnsi="Times New Roman" w:cs="Times New Roman"/>
          <w:color w:val="000000" w:themeColor="text1"/>
          <w:sz w:val="24"/>
          <w:szCs w:val="24"/>
        </w:rPr>
        <w:t>burnout</w:t>
      </w:r>
      <w:r w:rsidRPr="00AA67B0">
        <w:rPr>
          <w:rFonts w:ascii="Times New Roman" w:eastAsia="Times New Roman" w:hAnsi="Times New Roman" w:cs="Times New Roman"/>
          <w:color w:val="000000" w:themeColor="text1"/>
          <w:sz w:val="24"/>
          <w:szCs w:val="24"/>
        </w:rPr>
        <w:t xml:space="preserve"> </w:t>
      </w:r>
      <w:r w:rsidR="00130A58" w:rsidRPr="00AA67B0">
        <w:rPr>
          <w:rFonts w:ascii="Times New Roman" w:eastAsia="Times New Roman" w:hAnsi="Times New Roman" w:cs="Times New Roman"/>
          <w:color w:val="000000" w:themeColor="text1"/>
          <w:sz w:val="24"/>
          <w:szCs w:val="24"/>
        </w:rPr>
        <w:t>is</w:t>
      </w:r>
      <w:r w:rsidR="008F53FB" w:rsidRPr="00AA67B0">
        <w:rPr>
          <w:rFonts w:ascii="Times New Roman" w:eastAsia="Times New Roman" w:hAnsi="Times New Roman" w:cs="Times New Roman"/>
          <w:color w:val="000000" w:themeColor="text1"/>
          <w:sz w:val="24"/>
          <w:szCs w:val="24"/>
        </w:rPr>
        <w:t xml:space="preserve"> </w:t>
      </w:r>
      <w:r w:rsidRPr="00AA67B0">
        <w:rPr>
          <w:rFonts w:ascii="Times New Roman" w:eastAsia="Times New Roman" w:hAnsi="Times New Roman" w:cs="Times New Roman"/>
          <w:color w:val="000000" w:themeColor="text1"/>
          <w:sz w:val="24"/>
          <w:szCs w:val="24"/>
        </w:rPr>
        <w:t>link</w:t>
      </w:r>
      <w:r w:rsidR="00130A58" w:rsidRPr="00AA67B0">
        <w:rPr>
          <w:rFonts w:ascii="Times New Roman" w:eastAsia="Times New Roman" w:hAnsi="Times New Roman" w:cs="Times New Roman"/>
          <w:color w:val="000000" w:themeColor="text1"/>
          <w:sz w:val="24"/>
          <w:szCs w:val="24"/>
        </w:rPr>
        <w:t>ed</w:t>
      </w:r>
      <w:r w:rsidRPr="00AA67B0">
        <w:rPr>
          <w:rFonts w:ascii="Times New Roman" w:eastAsia="Times New Roman" w:hAnsi="Times New Roman" w:cs="Times New Roman"/>
          <w:color w:val="000000" w:themeColor="text1"/>
          <w:sz w:val="24"/>
          <w:szCs w:val="24"/>
        </w:rPr>
        <w:t xml:space="preserve"> to </w:t>
      </w:r>
      <w:r w:rsidR="003D43B5" w:rsidRPr="00AA67B0">
        <w:rPr>
          <w:rFonts w:ascii="Times New Roman" w:eastAsia="Times New Roman" w:hAnsi="Times New Roman" w:cs="Times New Roman"/>
          <w:color w:val="000000" w:themeColor="text1"/>
          <w:sz w:val="24"/>
          <w:szCs w:val="24"/>
        </w:rPr>
        <w:t xml:space="preserve">higher </w:t>
      </w:r>
      <w:r w:rsidRPr="00AA67B0">
        <w:rPr>
          <w:rFonts w:ascii="Times New Roman" w:eastAsia="Times New Roman" w:hAnsi="Times New Roman" w:cs="Times New Roman"/>
          <w:color w:val="000000" w:themeColor="text1"/>
          <w:sz w:val="24"/>
          <w:szCs w:val="24"/>
        </w:rPr>
        <w:t>turnover, absenteeism and poor job performance represent</w:t>
      </w:r>
      <w:r w:rsidR="003D43B5" w:rsidRPr="00AA67B0">
        <w:rPr>
          <w:rFonts w:ascii="Times New Roman" w:eastAsia="Times New Roman" w:hAnsi="Times New Roman" w:cs="Times New Roman"/>
          <w:color w:val="000000" w:themeColor="text1"/>
          <w:sz w:val="24"/>
          <w:szCs w:val="24"/>
        </w:rPr>
        <w:t>ing</w:t>
      </w:r>
      <w:r w:rsidRPr="00AA67B0">
        <w:rPr>
          <w:rFonts w:ascii="Times New Roman" w:eastAsia="Times New Roman" w:hAnsi="Times New Roman" w:cs="Times New Roman"/>
          <w:color w:val="000000" w:themeColor="text1"/>
          <w:sz w:val="24"/>
          <w:szCs w:val="24"/>
        </w:rPr>
        <w:t xml:space="preserve"> a significant cost (Taris, 2006). </w:t>
      </w:r>
    </w:p>
    <w:p w14:paraId="75A7C530" w14:textId="2C156AA3"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Burnout impacts the level of care social workers can provide and </w:t>
      </w:r>
      <w:r w:rsidR="008F53FB" w:rsidRPr="00AA67B0">
        <w:rPr>
          <w:rFonts w:ascii="Times New Roman" w:eastAsia="Times New Roman" w:hAnsi="Times New Roman" w:cs="Times New Roman"/>
          <w:color w:val="000000" w:themeColor="text1"/>
          <w:sz w:val="24"/>
          <w:szCs w:val="24"/>
        </w:rPr>
        <w:t xml:space="preserve">harms </w:t>
      </w:r>
      <w:r w:rsidRPr="00AA67B0">
        <w:rPr>
          <w:rFonts w:ascii="Times New Roman" w:eastAsia="Times New Roman" w:hAnsi="Times New Roman" w:cs="Times New Roman"/>
          <w:color w:val="000000" w:themeColor="text1"/>
          <w:sz w:val="24"/>
          <w:szCs w:val="24"/>
        </w:rPr>
        <w:t xml:space="preserve">the client-provider relationship, particularly in the areas of empathy and building rapport (Lizano &amp; Mor Barak, 2015). Not only are </w:t>
      </w:r>
      <w:r w:rsidR="00130A58" w:rsidRPr="00AA67B0">
        <w:rPr>
          <w:rFonts w:ascii="Times New Roman" w:eastAsia="Times New Roman" w:hAnsi="Times New Roman" w:cs="Times New Roman"/>
          <w:color w:val="000000" w:themeColor="text1"/>
          <w:sz w:val="24"/>
          <w:szCs w:val="24"/>
        </w:rPr>
        <w:t xml:space="preserve">social workers who are </w:t>
      </w:r>
      <w:r w:rsidRPr="00AA67B0">
        <w:rPr>
          <w:rFonts w:ascii="Times New Roman" w:eastAsia="Times New Roman" w:hAnsi="Times New Roman" w:cs="Times New Roman"/>
          <w:color w:val="000000" w:themeColor="text1"/>
          <w:sz w:val="24"/>
          <w:szCs w:val="24"/>
        </w:rPr>
        <w:t>less stressed and burned out able to provide better care, they are also more productive and better able to emotionally connect with clients (Maslach &amp; Goldberg, 1998).</w:t>
      </w:r>
    </w:p>
    <w:p w14:paraId="4044C5B6" w14:textId="2635D446"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Organi</w:t>
      </w:r>
      <w:r w:rsidR="00DD3384" w:rsidRPr="00AA67B0">
        <w:rPr>
          <w:rFonts w:ascii="Times New Roman" w:eastAsia="Times New Roman" w:hAnsi="Times New Roman" w:cs="Times New Roman"/>
          <w:color w:val="000000" w:themeColor="text1"/>
          <w:sz w:val="24"/>
          <w:szCs w:val="24"/>
        </w:rPr>
        <w:t>s</w:t>
      </w:r>
      <w:r w:rsidRPr="00AA67B0">
        <w:rPr>
          <w:rFonts w:ascii="Times New Roman" w:eastAsia="Times New Roman" w:hAnsi="Times New Roman" w:cs="Times New Roman"/>
          <w:color w:val="000000" w:themeColor="text1"/>
          <w:sz w:val="24"/>
          <w:szCs w:val="24"/>
        </w:rPr>
        <w:t>ationally, there have been some successful policies that corporations have been able to enact to reduce burnout, namely employee assistance program</w:t>
      </w:r>
      <w:r w:rsidR="003D43B5" w:rsidRPr="00AA67B0">
        <w:rPr>
          <w:rFonts w:ascii="Times New Roman" w:eastAsia="Times New Roman" w:hAnsi="Times New Roman" w:cs="Times New Roman"/>
          <w:color w:val="000000" w:themeColor="text1"/>
          <w:sz w:val="24"/>
          <w:szCs w:val="24"/>
        </w:rPr>
        <w:t>me</w:t>
      </w:r>
      <w:r w:rsidRPr="00AA67B0">
        <w:rPr>
          <w:rFonts w:ascii="Times New Roman" w:eastAsia="Times New Roman" w:hAnsi="Times New Roman" w:cs="Times New Roman"/>
          <w:color w:val="000000" w:themeColor="text1"/>
          <w:sz w:val="24"/>
          <w:szCs w:val="24"/>
        </w:rPr>
        <w:t>s and employee health program</w:t>
      </w:r>
      <w:r w:rsidR="003D43B5" w:rsidRPr="00AA67B0">
        <w:rPr>
          <w:rFonts w:ascii="Times New Roman" w:eastAsia="Times New Roman" w:hAnsi="Times New Roman" w:cs="Times New Roman"/>
          <w:color w:val="000000" w:themeColor="text1"/>
          <w:sz w:val="24"/>
          <w:szCs w:val="24"/>
        </w:rPr>
        <w:t>me</w:t>
      </w:r>
      <w:r w:rsidRPr="00AA67B0">
        <w:rPr>
          <w:rFonts w:ascii="Times New Roman" w:eastAsia="Times New Roman" w:hAnsi="Times New Roman" w:cs="Times New Roman"/>
          <w:color w:val="000000" w:themeColor="text1"/>
          <w:sz w:val="24"/>
          <w:szCs w:val="24"/>
        </w:rPr>
        <w:t xml:space="preserve">s, </w:t>
      </w:r>
      <w:r w:rsidRPr="00AA67B0">
        <w:rPr>
          <w:rFonts w:ascii="Times New Roman" w:eastAsia="Times New Roman" w:hAnsi="Times New Roman" w:cs="Times New Roman"/>
          <w:color w:val="000000" w:themeColor="text1"/>
          <w:sz w:val="24"/>
          <w:szCs w:val="24"/>
        </w:rPr>
        <w:lastRenderedPageBreak/>
        <w:t>which have had some success in reducing burnout and employee stress (</w:t>
      </w:r>
      <w:r w:rsidR="0045012C" w:rsidRPr="00AA67B0">
        <w:rPr>
          <w:rFonts w:ascii="Times New Roman" w:eastAsia="Times New Roman" w:hAnsi="Times New Roman" w:cs="Times New Roman"/>
          <w:color w:val="000000" w:themeColor="text1"/>
          <w:sz w:val="24"/>
          <w:szCs w:val="24"/>
        </w:rPr>
        <w:t xml:space="preserve">Ybema, Evers, &amp; Van Scheppingen, </w:t>
      </w:r>
      <w:r w:rsidRPr="00AA67B0">
        <w:rPr>
          <w:rFonts w:ascii="Times New Roman" w:eastAsia="Times New Roman" w:hAnsi="Times New Roman" w:cs="Times New Roman"/>
          <w:color w:val="000000" w:themeColor="text1"/>
          <w:sz w:val="24"/>
          <w:szCs w:val="24"/>
        </w:rPr>
        <w:t>2011). Data is lacking in many important areas, but one of the more glaring gap</w:t>
      </w:r>
      <w:r w:rsidR="003D43B5" w:rsidRPr="00AA67B0">
        <w:rPr>
          <w:rFonts w:ascii="Times New Roman" w:eastAsia="Times New Roman" w:hAnsi="Times New Roman" w:cs="Times New Roman"/>
          <w:color w:val="000000" w:themeColor="text1"/>
          <w:sz w:val="24"/>
          <w:szCs w:val="24"/>
        </w:rPr>
        <w:t>s</w:t>
      </w:r>
      <w:r w:rsidRPr="00AA67B0">
        <w:rPr>
          <w:rFonts w:ascii="Times New Roman" w:eastAsia="Times New Roman" w:hAnsi="Times New Roman" w:cs="Times New Roman"/>
          <w:color w:val="000000" w:themeColor="text1"/>
          <w:sz w:val="24"/>
          <w:szCs w:val="24"/>
        </w:rPr>
        <w:t xml:space="preserve"> in knowledge is </w:t>
      </w:r>
      <w:r w:rsidR="00130A58" w:rsidRPr="00AA67B0">
        <w:rPr>
          <w:rFonts w:ascii="Times New Roman" w:eastAsia="Times New Roman" w:hAnsi="Times New Roman" w:cs="Times New Roman"/>
          <w:color w:val="000000" w:themeColor="text1"/>
          <w:sz w:val="24"/>
          <w:szCs w:val="24"/>
        </w:rPr>
        <w:t xml:space="preserve">the lack of </w:t>
      </w:r>
      <w:r w:rsidRPr="00AA67B0">
        <w:rPr>
          <w:rFonts w:ascii="Times New Roman" w:eastAsia="Times New Roman" w:hAnsi="Times New Roman" w:cs="Times New Roman"/>
          <w:color w:val="000000" w:themeColor="text1"/>
          <w:sz w:val="24"/>
          <w:szCs w:val="24"/>
        </w:rPr>
        <w:t>data concerning general scores of burnout for social workers and what might be considered a high score (Morse, Salyers, Rollins, Monroe-DeVita, &amp; Pfahler, 2012).</w:t>
      </w:r>
    </w:p>
    <w:p w14:paraId="2961B9F3" w14:textId="77777777" w:rsidR="00EB56D6" w:rsidRPr="00AA67B0" w:rsidRDefault="00EB56D6">
      <w:pPr>
        <w:spacing w:after="0" w:line="360" w:lineRule="auto"/>
        <w:rPr>
          <w:rFonts w:ascii="Times New Roman" w:eastAsia="Times New Roman" w:hAnsi="Times New Roman" w:cs="Times New Roman"/>
          <w:color w:val="000000" w:themeColor="text1"/>
          <w:sz w:val="24"/>
          <w:szCs w:val="24"/>
          <w:highlight w:val="yellow"/>
        </w:rPr>
      </w:pPr>
    </w:p>
    <w:p w14:paraId="25276929" w14:textId="77777777" w:rsidR="00EB56D6" w:rsidRPr="00AA67B0" w:rsidRDefault="00EB56D6">
      <w:pPr>
        <w:rPr>
          <w:rFonts w:ascii="Times New Roman" w:eastAsia="Times New Roman" w:hAnsi="Times New Roman" w:cs="Times New Roman"/>
          <w:b/>
          <w:i/>
          <w:color w:val="000000" w:themeColor="text1"/>
          <w:sz w:val="24"/>
          <w:szCs w:val="24"/>
        </w:rPr>
      </w:pPr>
    </w:p>
    <w:p w14:paraId="73FA011D" w14:textId="77777777" w:rsidR="00EB56D6" w:rsidRPr="00AA67B0" w:rsidRDefault="004D1F5E">
      <w:pPr>
        <w:rPr>
          <w:rFonts w:ascii="Times New Roman" w:eastAsia="Times New Roman" w:hAnsi="Times New Roman" w:cs="Times New Roman"/>
          <w:b/>
          <w:i/>
          <w:color w:val="000000" w:themeColor="text1"/>
          <w:sz w:val="24"/>
          <w:szCs w:val="24"/>
        </w:rPr>
      </w:pPr>
      <w:r w:rsidRPr="00AA67B0">
        <w:rPr>
          <w:rFonts w:ascii="Times New Roman" w:eastAsia="Times New Roman" w:hAnsi="Times New Roman" w:cs="Times New Roman"/>
          <w:b/>
          <w:i/>
          <w:color w:val="000000" w:themeColor="text1"/>
          <w:sz w:val="24"/>
          <w:szCs w:val="24"/>
        </w:rPr>
        <w:t>Limitations and recommendations</w:t>
      </w:r>
    </w:p>
    <w:p w14:paraId="5909B0B7" w14:textId="051107C0"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Given its exploratory nature, this study has certain limitations that should be taken into account when interpreting its results. First, due to the fact that there are no cut-off points to reference for the subscales of the MBI for Spanish social workers, the reference values published for a general sample (comprised of diverse caregiving professions) were taken (Seisdedos, 1997). Secondly, the sample was not randomly selected</w:t>
      </w:r>
      <w:r w:rsidR="008F53FB"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and </w:t>
      </w:r>
      <w:r w:rsidR="008F53FB" w:rsidRPr="00AA67B0">
        <w:rPr>
          <w:rFonts w:ascii="Times New Roman" w:eastAsia="Times New Roman" w:hAnsi="Times New Roman" w:cs="Times New Roman"/>
          <w:color w:val="000000" w:themeColor="text1"/>
          <w:sz w:val="24"/>
          <w:szCs w:val="24"/>
        </w:rPr>
        <w:t xml:space="preserve">so </w:t>
      </w:r>
      <w:r w:rsidRPr="00AA67B0">
        <w:rPr>
          <w:rFonts w:ascii="Times New Roman" w:eastAsia="Times New Roman" w:hAnsi="Times New Roman" w:cs="Times New Roman"/>
          <w:color w:val="000000" w:themeColor="text1"/>
          <w:sz w:val="24"/>
          <w:szCs w:val="24"/>
        </w:rPr>
        <w:t>may not be balanced to be representative of the population.</w:t>
      </w:r>
      <w:r w:rsidR="00DD3384" w:rsidRPr="00AA67B0">
        <w:rPr>
          <w:rFonts w:ascii="Times New Roman" w:eastAsia="Times New Roman" w:hAnsi="Times New Roman" w:cs="Times New Roman"/>
          <w:color w:val="000000" w:themeColor="text1"/>
          <w:sz w:val="24"/>
          <w:szCs w:val="24"/>
        </w:rPr>
        <w:t xml:space="preserve"> </w:t>
      </w:r>
      <w:r w:rsidRPr="00AA67B0">
        <w:rPr>
          <w:rFonts w:ascii="Times New Roman" w:eastAsia="Times New Roman" w:hAnsi="Times New Roman" w:cs="Times New Roman"/>
          <w:color w:val="000000" w:themeColor="text1"/>
          <w:sz w:val="24"/>
          <w:szCs w:val="24"/>
        </w:rPr>
        <w:t>Another limitation is that the researcher does not have information on those who did not respond. Within the context of these limitations, this research contributes to knowledge of the incidence of burnout in Spain, a country in which previous research is scarce.</w:t>
      </w:r>
    </w:p>
    <w:p w14:paraId="63CD4DFF" w14:textId="04490579"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Although this study answered questions about the relationships between socio-demographic characteristics of social workers and burnout, it is clear that there are many more variables that must be explored in relationship to the experiences and attitudes of workers toward</w:t>
      </w:r>
      <w:r w:rsidR="000F5B1B" w:rsidRPr="00AA67B0">
        <w:rPr>
          <w:rFonts w:ascii="Times New Roman" w:eastAsia="Times New Roman" w:hAnsi="Times New Roman" w:cs="Times New Roman"/>
          <w:color w:val="000000" w:themeColor="text1"/>
          <w:sz w:val="24"/>
          <w:szCs w:val="24"/>
        </w:rPr>
        <w:t>s</w:t>
      </w:r>
      <w:r w:rsidRPr="00AA67B0">
        <w:rPr>
          <w:rFonts w:ascii="Times New Roman" w:eastAsia="Times New Roman" w:hAnsi="Times New Roman" w:cs="Times New Roman"/>
          <w:color w:val="000000" w:themeColor="text1"/>
          <w:sz w:val="24"/>
          <w:szCs w:val="24"/>
        </w:rPr>
        <w:t xml:space="preserve"> their work. It is important to re-examine the relationships between service groups and burnout, considering that the characteristics of specialised social services, which appear to protect them against burnout, still have not been identified by empirical literature. The second suggestion is to improve the understanding of social workers who perform their function in public administration and in private organisations in order to clarify the similarities and differences between the two subgroups in relation to the components of burnout. The results of the study also showed that younger and inexperienced social workers were more prone to burnout than those who were older. Therefore, orientation program</w:t>
      </w:r>
      <w:r w:rsidR="003826B0" w:rsidRPr="00AA67B0">
        <w:rPr>
          <w:rFonts w:ascii="Times New Roman" w:eastAsia="Times New Roman" w:hAnsi="Times New Roman" w:cs="Times New Roman"/>
          <w:color w:val="000000" w:themeColor="text1"/>
          <w:sz w:val="24"/>
          <w:szCs w:val="24"/>
        </w:rPr>
        <w:t>me</w:t>
      </w:r>
      <w:r w:rsidRPr="00AA67B0">
        <w:rPr>
          <w:rFonts w:ascii="Times New Roman" w:eastAsia="Times New Roman" w:hAnsi="Times New Roman" w:cs="Times New Roman"/>
          <w:color w:val="000000" w:themeColor="text1"/>
          <w:sz w:val="24"/>
          <w:szCs w:val="24"/>
        </w:rPr>
        <w:t>s are needed that provide realistic information about this type of work to new social workers.</w:t>
      </w:r>
    </w:p>
    <w:p w14:paraId="56361098" w14:textId="77777777" w:rsidR="00EB56D6" w:rsidRPr="00AA67B0" w:rsidRDefault="004D1F5E">
      <w:pPr>
        <w:spacing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Longitudinal studies and / or statistically representative samples would be of great use to understand the development of burnout in the course of professional careers. Finally, it would be useful to perform studies through the development of qualitative designs. This strategy would be particularly important in order to understand the experience that the professionals themselves have of burnout.</w:t>
      </w:r>
    </w:p>
    <w:p w14:paraId="732772B4" w14:textId="77777777" w:rsidR="00EB56D6" w:rsidRPr="00AA67B0" w:rsidRDefault="00EB56D6">
      <w:pPr>
        <w:spacing w:line="360" w:lineRule="auto"/>
        <w:rPr>
          <w:rFonts w:ascii="Times New Roman" w:eastAsia="Times New Roman" w:hAnsi="Times New Roman" w:cs="Times New Roman"/>
          <w:color w:val="000000" w:themeColor="text1"/>
          <w:sz w:val="24"/>
          <w:szCs w:val="24"/>
        </w:rPr>
      </w:pPr>
    </w:p>
    <w:p w14:paraId="4B685B47" w14:textId="77777777" w:rsidR="00595EF6" w:rsidRPr="00AA67B0" w:rsidRDefault="00595EF6">
      <w:pPr>
        <w:spacing w:before="240" w:after="0" w:line="360" w:lineRule="auto"/>
        <w:rPr>
          <w:rFonts w:ascii="Times New Roman" w:eastAsia="Times New Roman" w:hAnsi="Times New Roman" w:cs="Times New Roman"/>
          <w:b/>
          <w:color w:val="000000" w:themeColor="text1"/>
          <w:sz w:val="24"/>
          <w:szCs w:val="24"/>
        </w:rPr>
      </w:pPr>
    </w:p>
    <w:p w14:paraId="12320D5B" w14:textId="77777777" w:rsidR="00EB56D6" w:rsidRPr="00AA67B0" w:rsidRDefault="004D1F5E">
      <w:pPr>
        <w:spacing w:before="240" w:after="0" w:line="360" w:lineRule="auto"/>
        <w:rPr>
          <w:rFonts w:ascii="Times New Roman" w:eastAsia="Times New Roman" w:hAnsi="Times New Roman" w:cs="Times New Roman"/>
          <w:b/>
          <w:color w:val="000000" w:themeColor="text1"/>
          <w:sz w:val="24"/>
          <w:szCs w:val="24"/>
        </w:rPr>
      </w:pPr>
      <w:r w:rsidRPr="00AA67B0">
        <w:rPr>
          <w:rFonts w:ascii="Times New Roman" w:eastAsia="Times New Roman" w:hAnsi="Times New Roman" w:cs="Times New Roman"/>
          <w:b/>
          <w:color w:val="000000" w:themeColor="text1"/>
          <w:sz w:val="24"/>
          <w:szCs w:val="24"/>
        </w:rPr>
        <w:lastRenderedPageBreak/>
        <w:t>Conclusion</w:t>
      </w:r>
    </w:p>
    <w:p w14:paraId="25372737" w14:textId="77777777" w:rsidR="00EB56D6" w:rsidRPr="00AA67B0" w:rsidRDefault="00EB56D6">
      <w:pPr>
        <w:spacing w:after="0" w:line="360" w:lineRule="auto"/>
        <w:rPr>
          <w:rFonts w:ascii="Times New Roman" w:eastAsia="Times New Roman" w:hAnsi="Times New Roman" w:cs="Times New Roman"/>
          <w:color w:val="000000" w:themeColor="text1"/>
          <w:sz w:val="24"/>
          <w:szCs w:val="24"/>
        </w:rPr>
      </w:pPr>
    </w:p>
    <w:p w14:paraId="4FE82393" w14:textId="77777777"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This study confirms the high presence of burnout syndrome in Spanish social workers. In the same vein, it was found that gender, age, the presence of children in the home, having been on sick leave, suffering from a chronic illness, the sector of the population served, full-time or part-time employment status, and the type of organisation worked for, are variables that are significantly associated with one of the three dimensions of the MBI-HSS. Nevertheless, the explained low percentages of total variance imply that although certain socio-demographic characteristics of social workers are significant predictors, their effects on each of the dimensions of burnout of social workers may not be as emphasised. </w:t>
      </w:r>
    </w:p>
    <w:p w14:paraId="17A999E4" w14:textId="77777777" w:rsidR="00EB56D6" w:rsidRPr="00AA67B0" w:rsidRDefault="00EB56D6">
      <w:pPr>
        <w:spacing w:after="0" w:line="360" w:lineRule="auto"/>
        <w:rPr>
          <w:rFonts w:ascii="Times New Roman" w:eastAsia="Times New Roman" w:hAnsi="Times New Roman" w:cs="Times New Roman"/>
          <w:color w:val="000000" w:themeColor="text1"/>
          <w:sz w:val="24"/>
          <w:szCs w:val="24"/>
        </w:rPr>
      </w:pPr>
    </w:p>
    <w:p w14:paraId="47E46DBC" w14:textId="77777777" w:rsidR="00B07A1F" w:rsidRPr="00AA67B0" w:rsidRDefault="00B07A1F" w:rsidP="00B07A1F">
      <w:pPr>
        <w:spacing w:after="0" w:line="360" w:lineRule="auto"/>
        <w:rPr>
          <w:rFonts w:ascii="Times New Roman" w:eastAsia="Times New Roman" w:hAnsi="Times New Roman" w:cs="Times New Roman"/>
          <w:b/>
          <w:color w:val="000000" w:themeColor="text1"/>
          <w:sz w:val="24"/>
          <w:szCs w:val="24"/>
        </w:rPr>
      </w:pPr>
      <w:r w:rsidRPr="00AA67B0">
        <w:rPr>
          <w:rFonts w:ascii="Times New Roman" w:eastAsia="Times New Roman" w:hAnsi="Times New Roman" w:cs="Times New Roman"/>
          <w:b/>
          <w:color w:val="000000" w:themeColor="text1"/>
          <w:sz w:val="24"/>
          <w:szCs w:val="24"/>
        </w:rPr>
        <w:t>Ethics</w:t>
      </w:r>
    </w:p>
    <w:p w14:paraId="2152B085" w14:textId="77777777" w:rsidR="00B07A1F" w:rsidRPr="00AA67B0" w:rsidRDefault="00B07A1F" w:rsidP="00B07A1F">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This study conformed to the Code of Practice for Research at the University of Valladolid (Spain) and was approved by the ethics committee of this University.</w:t>
      </w:r>
    </w:p>
    <w:p w14:paraId="7B740897" w14:textId="77777777" w:rsidR="00B07A1F" w:rsidRPr="00AA67B0" w:rsidRDefault="00B07A1F" w:rsidP="00B07A1F">
      <w:pPr>
        <w:spacing w:after="0" w:line="360" w:lineRule="auto"/>
        <w:rPr>
          <w:rFonts w:ascii="Times New Roman" w:eastAsia="Times New Roman" w:hAnsi="Times New Roman" w:cs="Times New Roman"/>
          <w:b/>
          <w:color w:val="000000" w:themeColor="text1"/>
          <w:sz w:val="24"/>
          <w:szCs w:val="24"/>
        </w:rPr>
      </w:pPr>
    </w:p>
    <w:p w14:paraId="541F5E66" w14:textId="77777777" w:rsidR="00B07A1F" w:rsidRPr="00AA67B0" w:rsidRDefault="00B07A1F" w:rsidP="00B07A1F">
      <w:pPr>
        <w:spacing w:after="0" w:line="360" w:lineRule="auto"/>
        <w:rPr>
          <w:rFonts w:ascii="Times New Roman" w:eastAsia="Times New Roman" w:hAnsi="Times New Roman" w:cs="Times New Roman"/>
          <w:b/>
          <w:color w:val="000000" w:themeColor="text1"/>
          <w:sz w:val="24"/>
          <w:szCs w:val="24"/>
        </w:rPr>
      </w:pPr>
      <w:r w:rsidRPr="00AA67B0">
        <w:rPr>
          <w:rFonts w:ascii="Times New Roman" w:eastAsia="Times New Roman" w:hAnsi="Times New Roman" w:cs="Times New Roman"/>
          <w:b/>
          <w:color w:val="000000" w:themeColor="text1"/>
          <w:sz w:val="24"/>
          <w:szCs w:val="24"/>
        </w:rPr>
        <w:t>Funding</w:t>
      </w:r>
    </w:p>
    <w:p w14:paraId="52755CC0" w14:textId="77777777" w:rsidR="00B07A1F" w:rsidRPr="00AA67B0" w:rsidRDefault="00B07A1F" w:rsidP="00B07A1F">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The author(s) received no financial support for the research, authorship and/or publication of this article.</w:t>
      </w:r>
    </w:p>
    <w:p w14:paraId="21A54B88" w14:textId="77777777" w:rsidR="00B07A1F" w:rsidRPr="00AA67B0" w:rsidRDefault="00B07A1F">
      <w:pPr>
        <w:spacing w:after="0" w:line="360" w:lineRule="auto"/>
        <w:rPr>
          <w:rFonts w:ascii="Times New Roman" w:eastAsia="Times New Roman" w:hAnsi="Times New Roman" w:cs="Times New Roman"/>
          <w:b/>
          <w:color w:val="000000" w:themeColor="text1"/>
          <w:sz w:val="24"/>
          <w:szCs w:val="24"/>
        </w:rPr>
      </w:pPr>
    </w:p>
    <w:p w14:paraId="0F7412B2" w14:textId="15E4FD7F" w:rsidR="00EB56D6" w:rsidRPr="00AA67B0" w:rsidRDefault="004D1F5E">
      <w:pPr>
        <w:spacing w:after="0" w:line="360" w:lineRule="auto"/>
        <w:rPr>
          <w:rFonts w:ascii="Times New Roman" w:eastAsia="Times New Roman" w:hAnsi="Times New Roman" w:cs="Times New Roman"/>
          <w:b/>
          <w:color w:val="000000" w:themeColor="text1"/>
          <w:sz w:val="24"/>
          <w:szCs w:val="24"/>
        </w:rPr>
      </w:pPr>
      <w:r w:rsidRPr="00AA67B0">
        <w:rPr>
          <w:rFonts w:ascii="Times New Roman" w:eastAsia="Times New Roman" w:hAnsi="Times New Roman" w:cs="Times New Roman"/>
          <w:b/>
          <w:color w:val="000000" w:themeColor="text1"/>
          <w:sz w:val="24"/>
          <w:szCs w:val="24"/>
        </w:rPr>
        <w:t>Acknowledgement</w:t>
      </w:r>
      <w:r w:rsidR="003826B0" w:rsidRPr="00AA67B0">
        <w:rPr>
          <w:rFonts w:ascii="Times New Roman" w:eastAsia="Times New Roman" w:hAnsi="Times New Roman" w:cs="Times New Roman"/>
          <w:b/>
          <w:color w:val="000000" w:themeColor="text1"/>
          <w:sz w:val="24"/>
          <w:szCs w:val="24"/>
        </w:rPr>
        <w:t>s</w:t>
      </w:r>
    </w:p>
    <w:p w14:paraId="1100E4C8" w14:textId="77777777" w:rsidR="00EB56D6" w:rsidRPr="00AA67B0" w:rsidRDefault="004D1F5E">
      <w:pPr>
        <w:spacing w:after="0" w:line="360" w:lineRule="auto"/>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The authors would like to express their gratitude to all the professionals who have collaborated in completing the surveys, and extend their thanks to all the Official Associations of Social Workers who provided the necessary assistance to carry out the study.</w:t>
      </w:r>
    </w:p>
    <w:p w14:paraId="6A557F61" w14:textId="77777777" w:rsidR="00595EF6" w:rsidRPr="00AA67B0" w:rsidRDefault="00595EF6">
      <w:pPr>
        <w:spacing w:after="0" w:line="360" w:lineRule="auto"/>
        <w:rPr>
          <w:rFonts w:ascii="Times New Roman" w:eastAsia="Times New Roman" w:hAnsi="Times New Roman" w:cs="Times New Roman"/>
          <w:b/>
          <w:color w:val="000000" w:themeColor="text1"/>
          <w:sz w:val="24"/>
          <w:szCs w:val="24"/>
        </w:rPr>
      </w:pPr>
    </w:p>
    <w:p w14:paraId="2D7A76B4" w14:textId="0607E571" w:rsidR="00B07A1F" w:rsidRPr="00AA67B0" w:rsidRDefault="00B07A1F">
      <w:pPr>
        <w:spacing w:after="0" w:line="360" w:lineRule="auto"/>
        <w:rPr>
          <w:rFonts w:ascii="Times New Roman" w:eastAsia="Times New Roman" w:hAnsi="Times New Roman" w:cs="Times New Roman"/>
          <w:b/>
          <w:color w:val="000000" w:themeColor="text1"/>
          <w:sz w:val="24"/>
          <w:szCs w:val="24"/>
        </w:rPr>
      </w:pPr>
      <w:r w:rsidRPr="00AA67B0">
        <w:rPr>
          <w:rFonts w:ascii="Times New Roman" w:eastAsia="Times New Roman" w:hAnsi="Times New Roman" w:cs="Times New Roman"/>
          <w:b/>
          <w:color w:val="000000" w:themeColor="text1"/>
          <w:sz w:val="24"/>
          <w:szCs w:val="24"/>
        </w:rPr>
        <w:t>Notes</w:t>
      </w:r>
    </w:p>
    <w:p w14:paraId="4E2895CE" w14:textId="69E4E2E9" w:rsidR="00B07A1F" w:rsidRPr="00AA67B0" w:rsidRDefault="00B07A1F" w:rsidP="00B07A1F">
      <w:pPr>
        <w:spacing w:after="0" w:line="360" w:lineRule="auto"/>
        <w:ind w:left="284" w:hanging="284"/>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1. They are the set of professional organisations formed exclusively by Postgraduates of Social Work, Graduates of Social Work and Social Workers. The number of Professional Bodies that form the collegiate structure of the social workers of the Spanish State is 36. Currently there are approximately 40,000 collegiate professionals in the entire territory of the Spanish State according to data provided by the 36 Official Bodies throughout the national territory.</w:t>
      </w:r>
    </w:p>
    <w:p w14:paraId="5ACF9DC8" w14:textId="70224A65" w:rsidR="00B07A1F" w:rsidRPr="00AA67B0" w:rsidRDefault="00B07A1F" w:rsidP="00B07A1F">
      <w:pPr>
        <w:spacing w:after="0" w:line="360" w:lineRule="auto"/>
        <w:ind w:left="284" w:hanging="284"/>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2. Social services are organised into community and specialised services. Community services compose the basic structure of the public system of social services (first level of assistance closest to the user), their purpose being the attainment of better living conditions by means of integrated and multi-purpose assistance. Specialised social services are those that are directed to </w:t>
      </w:r>
      <w:r w:rsidRPr="00AA67B0">
        <w:rPr>
          <w:rFonts w:ascii="Times New Roman" w:eastAsia="Times New Roman" w:hAnsi="Times New Roman" w:cs="Times New Roman"/>
          <w:color w:val="000000" w:themeColor="text1"/>
          <w:sz w:val="24"/>
          <w:szCs w:val="24"/>
        </w:rPr>
        <w:lastRenderedPageBreak/>
        <w:t>certain sectors of the population that need specific assistance due to their conditions or circumstances.</w:t>
      </w:r>
    </w:p>
    <w:p w14:paraId="48FE2A50" w14:textId="77777777" w:rsidR="00EB56D6" w:rsidRPr="00AA67B0" w:rsidRDefault="00EB56D6">
      <w:pPr>
        <w:spacing w:after="0" w:line="360" w:lineRule="auto"/>
        <w:rPr>
          <w:rFonts w:ascii="Times New Roman" w:eastAsia="Times New Roman" w:hAnsi="Times New Roman" w:cs="Times New Roman"/>
          <w:b/>
          <w:color w:val="000000" w:themeColor="text1"/>
          <w:sz w:val="24"/>
          <w:szCs w:val="24"/>
        </w:rPr>
      </w:pPr>
    </w:p>
    <w:p w14:paraId="6044C065" w14:textId="270F12E9" w:rsidR="004C0917" w:rsidRPr="00AA67B0" w:rsidRDefault="004C0917">
      <w:pPr>
        <w:tabs>
          <w:tab w:val="left" w:pos="3516"/>
        </w:tabs>
        <w:rPr>
          <w:rFonts w:ascii="Times New Roman" w:eastAsia="Times New Roman" w:hAnsi="Times New Roman" w:cs="Times New Roman"/>
          <w:b/>
          <w:color w:val="000000" w:themeColor="text1"/>
          <w:sz w:val="24"/>
          <w:szCs w:val="24"/>
          <w:lang w:val="es-ES"/>
        </w:rPr>
      </w:pPr>
      <w:r w:rsidRPr="00AA67B0">
        <w:rPr>
          <w:rFonts w:ascii="Times New Roman" w:eastAsia="Times New Roman" w:hAnsi="Times New Roman" w:cs="Times New Roman"/>
          <w:b/>
          <w:color w:val="000000" w:themeColor="text1"/>
          <w:sz w:val="24"/>
          <w:szCs w:val="24"/>
          <w:lang w:val="es-ES"/>
        </w:rPr>
        <w:t>Orcid ID</w:t>
      </w:r>
    </w:p>
    <w:p w14:paraId="345474BC" w14:textId="4C793127" w:rsidR="004C0917" w:rsidRPr="00AA67B0" w:rsidRDefault="004C0917">
      <w:pPr>
        <w:tabs>
          <w:tab w:val="left" w:pos="3516"/>
        </w:tabs>
        <w:rPr>
          <w:rFonts w:ascii="Times New Roman" w:eastAsia="Times New Roman" w:hAnsi="Times New Roman" w:cs="Times New Roman"/>
          <w:color w:val="000000" w:themeColor="text1"/>
          <w:sz w:val="24"/>
          <w:szCs w:val="24"/>
          <w:lang w:val="es-ES"/>
        </w:rPr>
      </w:pPr>
      <w:r w:rsidRPr="00AA67B0">
        <w:rPr>
          <w:rFonts w:ascii="Times New Roman" w:eastAsia="Times New Roman" w:hAnsi="Times New Roman" w:cs="Times New Roman"/>
          <w:color w:val="000000" w:themeColor="text1"/>
          <w:sz w:val="24"/>
          <w:szCs w:val="24"/>
          <w:lang w:val="es-ES"/>
        </w:rPr>
        <w:t xml:space="preserve">Rogelio Gómez García </w:t>
      </w:r>
      <w:hyperlink r:id="rId9" w:history="1">
        <w:r w:rsidRPr="00AA67B0">
          <w:rPr>
            <w:rStyle w:val="Hipervnculo"/>
            <w:rFonts w:ascii="Times New Roman" w:eastAsia="Times New Roman" w:hAnsi="Times New Roman" w:cs="Times New Roman"/>
            <w:color w:val="000000" w:themeColor="text1"/>
            <w:sz w:val="24"/>
            <w:szCs w:val="24"/>
            <w:lang w:val="es-ES"/>
          </w:rPr>
          <w:t>http://orcid.org/0000-0002-7423-5852</w:t>
        </w:r>
      </w:hyperlink>
    </w:p>
    <w:p w14:paraId="4895C286" w14:textId="77777777" w:rsidR="004C0917" w:rsidRPr="00AA67B0" w:rsidRDefault="004C0917">
      <w:pPr>
        <w:tabs>
          <w:tab w:val="left" w:pos="3516"/>
        </w:tabs>
        <w:rPr>
          <w:rFonts w:ascii="Times New Roman" w:eastAsia="Times New Roman" w:hAnsi="Times New Roman" w:cs="Times New Roman"/>
          <w:b/>
          <w:color w:val="000000" w:themeColor="text1"/>
          <w:sz w:val="24"/>
          <w:szCs w:val="24"/>
          <w:lang w:val="es-ES"/>
        </w:rPr>
      </w:pPr>
    </w:p>
    <w:p w14:paraId="479351B8" w14:textId="77777777" w:rsidR="00EB56D6" w:rsidRPr="00AA67B0" w:rsidRDefault="004D1F5E">
      <w:pPr>
        <w:tabs>
          <w:tab w:val="left" w:pos="3516"/>
        </w:tabs>
        <w:rPr>
          <w:rFonts w:ascii="Times New Roman" w:eastAsia="Times New Roman" w:hAnsi="Times New Roman" w:cs="Times New Roman"/>
          <w:b/>
          <w:color w:val="000000" w:themeColor="text1"/>
          <w:sz w:val="24"/>
          <w:szCs w:val="24"/>
        </w:rPr>
      </w:pPr>
      <w:r w:rsidRPr="00AA67B0">
        <w:rPr>
          <w:rFonts w:ascii="Times New Roman" w:eastAsia="Times New Roman" w:hAnsi="Times New Roman" w:cs="Times New Roman"/>
          <w:b/>
          <w:color w:val="000000" w:themeColor="text1"/>
          <w:sz w:val="24"/>
          <w:szCs w:val="24"/>
        </w:rPr>
        <w:t>References</w:t>
      </w:r>
      <w:r w:rsidRPr="00AA67B0">
        <w:rPr>
          <w:rFonts w:ascii="Times New Roman" w:eastAsia="Times New Roman" w:hAnsi="Times New Roman" w:cs="Times New Roman"/>
          <w:b/>
          <w:color w:val="000000" w:themeColor="text1"/>
          <w:sz w:val="24"/>
          <w:szCs w:val="24"/>
        </w:rPr>
        <w:tab/>
      </w:r>
    </w:p>
    <w:p w14:paraId="79B2D6C2" w14:textId="77777777" w:rsidR="00EB56D6" w:rsidRPr="00AA67B0" w:rsidRDefault="00EB56D6">
      <w:pPr>
        <w:ind w:left="709" w:hanging="709"/>
        <w:rPr>
          <w:rFonts w:ascii="Times New Roman" w:eastAsia="Times New Roman" w:hAnsi="Times New Roman" w:cs="Times New Roman"/>
          <w:color w:val="000000" w:themeColor="text1"/>
          <w:sz w:val="24"/>
          <w:szCs w:val="24"/>
        </w:rPr>
      </w:pPr>
    </w:p>
    <w:p w14:paraId="5CE5C54A" w14:textId="77777777" w:rsidR="00EB56D6"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Abdallah, T. (2009). Prevalence and predictors of burnout among Palestinian social workers. </w:t>
      </w:r>
      <w:r w:rsidRPr="00AA67B0">
        <w:rPr>
          <w:rFonts w:ascii="Times New Roman" w:eastAsia="Times New Roman" w:hAnsi="Times New Roman" w:cs="Times New Roman"/>
          <w:i/>
          <w:color w:val="000000" w:themeColor="text1"/>
          <w:sz w:val="24"/>
          <w:szCs w:val="24"/>
        </w:rPr>
        <w:t>International Social Work, 52</w:t>
      </w:r>
      <w:r w:rsidRPr="00AA67B0">
        <w:rPr>
          <w:rFonts w:ascii="Times New Roman" w:eastAsia="Times New Roman" w:hAnsi="Times New Roman" w:cs="Times New Roman"/>
          <w:color w:val="000000" w:themeColor="text1"/>
          <w:sz w:val="24"/>
          <w:szCs w:val="24"/>
        </w:rPr>
        <w:t xml:space="preserve">(2), 223–233. </w:t>
      </w:r>
      <w:hyperlink r:id="rId10">
        <w:r w:rsidRPr="00AA67B0">
          <w:rPr>
            <w:rFonts w:ascii="Times New Roman" w:eastAsia="Times New Roman" w:hAnsi="Times New Roman" w:cs="Times New Roman"/>
            <w:color w:val="000000" w:themeColor="text1"/>
            <w:sz w:val="24"/>
            <w:szCs w:val="24"/>
            <w:u w:val="single"/>
          </w:rPr>
          <w:t>https://doi.org/10.1177/0020872808099732</w:t>
        </w:r>
      </w:hyperlink>
      <w:r w:rsidRPr="00AA67B0">
        <w:rPr>
          <w:rFonts w:ascii="Times New Roman" w:eastAsia="Times New Roman" w:hAnsi="Times New Roman" w:cs="Times New Roman"/>
          <w:color w:val="000000" w:themeColor="text1"/>
          <w:sz w:val="24"/>
          <w:szCs w:val="24"/>
        </w:rPr>
        <w:t>.</w:t>
      </w:r>
    </w:p>
    <w:p w14:paraId="75CE889D" w14:textId="77777777" w:rsidR="00EB56D6"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Acker, G. M. (2010). The challenges in providing services to clients with mental illness: Managed care, burnout and somatic symptoms among social workers. </w:t>
      </w:r>
      <w:r w:rsidRPr="00AA67B0">
        <w:rPr>
          <w:rFonts w:ascii="Times New Roman" w:eastAsia="Times New Roman" w:hAnsi="Times New Roman" w:cs="Times New Roman"/>
          <w:i/>
          <w:color w:val="000000" w:themeColor="text1"/>
          <w:sz w:val="24"/>
          <w:szCs w:val="24"/>
        </w:rPr>
        <w:t>Community Mental Health Journal, 46</w:t>
      </w:r>
      <w:r w:rsidRPr="00AA67B0">
        <w:rPr>
          <w:rFonts w:ascii="Times New Roman" w:eastAsia="Times New Roman" w:hAnsi="Times New Roman" w:cs="Times New Roman"/>
          <w:color w:val="000000" w:themeColor="text1"/>
          <w:sz w:val="24"/>
          <w:szCs w:val="24"/>
        </w:rPr>
        <w:t xml:space="preserve">(6), 591–600. </w:t>
      </w:r>
      <w:hyperlink r:id="rId11">
        <w:r w:rsidRPr="00AA67B0">
          <w:rPr>
            <w:rFonts w:ascii="Times New Roman" w:eastAsia="Times New Roman" w:hAnsi="Times New Roman" w:cs="Times New Roman"/>
            <w:color w:val="000000" w:themeColor="text1"/>
            <w:sz w:val="24"/>
            <w:szCs w:val="24"/>
            <w:u w:val="single"/>
          </w:rPr>
          <w:t>https://doi.org/10.1007/s10597-009-9269-5</w:t>
        </w:r>
      </w:hyperlink>
      <w:r w:rsidRPr="00AA67B0">
        <w:rPr>
          <w:rFonts w:ascii="Times New Roman" w:eastAsia="Times New Roman" w:hAnsi="Times New Roman" w:cs="Times New Roman"/>
          <w:color w:val="000000" w:themeColor="text1"/>
          <w:sz w:val="24"/>
          <w:szCs w:val="24"/>
        </w:rPr>
        <w:t>.</w:t>
      </w:r>
    </w:p>
    <w:p w14:paraId="0F5BDBFC" w14:textId="7FB3B039" w:rsidR="00EB56D6" w:rsidRPr="00AA67B0" w:rsidRDefault="004D1F5E">
      <w:pPr>
        <w:ind w:left="709" w:hanging="709"/>
        <w:rPr>
          <w:rFonts w:ascii="Times New Roman" w:eastAsia="Times New Roman" w:hAnsi="Times New Roman" w:cs="Times New Roman"/>
          <w:color w:val="000000" w:themeColor="text1"/>
          <w:sz w:val="24"/>
          <w:szCs w:val="24"/>
          <w:lang w:val="es-ES"/>
        </w:rPr>
      </w:pPr>
      <w:r w:rsidRPr="00AA67B0">
        <w:rPr>
          <w:rFonts w:ascii="Times New Roman" w:eastAsia="Times New Roman" w:hAnsi="Times New Roman" w:cs="Times New Roman"/>
          <w:color w:val="000000" w:themeColor="text1"/>
          <w:sz w:val="24"/>
          <w:szCs w:val="24"/>
          <w:lang w:val="es-ES"/>
        </w:rPr>
        <w:t xml:space="preserve">Aguayo, R., Vargas, C., Cañadas, G. R., &amp; Fuente, E. I. De. </w:t>
      </w:r>
      <w:r w:rsidRPr="00AA67B0">
        <w:rPr>
          <w:rFonts w:ascii="Times New Roman" w:eastAsia="Times New Roman" w:hAnsi="Times New Roman" w:cs="Times New Roman"/>
          <w:color w:val="000000" w:themeColor="text1"/>
          <w:sz w:val="24"/>
          <w:szCs w:val="24"/>
        </w:rPr>
        <w:t xml:space="preserve">(2017). Are </w:t>
      </w:r>
      <w:r w:rsidR="00FA276F" w:rsidRPr="00AA67B0">
        <w:rPr>
          <w:rFonts w:ascii="Times New Roman" w:eastAsia="Times New Roman" w:hAnsi="Times New Roman" w:cs="Times New Roman"/>
          <w:color w:val="000000" w:themeColor="text1"/>
          <w:sz w:val="24"/>
          <w:szCs w:val="24"/>
        </w:rPr>
        <w:t>socio-demographic factors associated to burnout syndrome in police officers </w:t>
      </w:r>
      <w:r w:rsidRPr="00AA67B0">
        <w:rPr>
          <w:rFonts w:ascii="Times New Roman" w:eastAsia="Times New Roman" w:hAnsi="Times New Roman" w:cs="Times New Roman"/>
          <w:color w:val="000000" w:themeColor="text1"/>
          <w:sz w:val="24"/>
          <w:szCs w:val="24"/>
        </w:rPr>
        <w:t xml:space="preserve">? A </w:t>
      </w:r>
      <w:r w:rsidR="00FA276F" w:rsidRPr="00AA67B0">
        <w:rPr>
          <w:rFonts w:ascii="Times New Roman" w:eastAsia="Times New Roman" w:hAnsi="Times New Roman" w:cs="Times New Roman"/>
          <w:color w:val="000000" w:themeColor="text1"/>
          <w:sz w:val="24"/>
          <w:szCs w:val="24"/>
        </w:rPr>
        <w:t>correlational meta-analysis</w:t>
      </w:r>
      <w:r w:rsidRPr="00AA67B0">
        <w:rPr>
          <w:rFonts w:ascii="Times New Roman" w:eastAsia="Times New Roman" w:hAnsi="Times New Roman" w:cs="Times New Roman"/>
          <w:color w:val="000000" w:themeColor="text1"/>
          <w:sz w:val="24"/>
          <w:szCs w:val="24"/>
        </w:rPr>
        <w:t xml:space="preserve">. </w:t>
      </w:r>
      <w:r w:rsidRPr="00AA67B0">
        <w:rPr>
          <w:rFonts w:ascii="Times New Roman" w:eastAsia="Times New Roman" w:hAnsi="Times New Roman" w:cs="Times New Roman"/>
          <w:i/>
          <w:color w:val="000000" w:themeColor="text1"/>
          <w:sz w:val="24"/>
          <w:szCs w:val="24"/>
          <w:lang w:val="es-ES"/>
        </w:rPr>
        <w:t>Anales de Psicologia, 33</w:t>
      </w:r>
      <w:r w:rsidRPr="00AA67B0">
        <w:rPr>
          <w:rFonts w:ascii="Times New Roman" w:eastAsia="Times New Roman" w:hAnsi="Times New Roman" w:cs="Times New Roman"/>
          <w:color w:val="000000" w:themeColor="text1"/>
          <w:sz w:val="24"/>
          <w:szCs w:val="24"/>
          <w:lang w:val="es-ES"/>
        </w:rPr>
        <w:t xml:space="preserve">, 383–392. </w:t>
      </w:r>
      <w:hyperlink r:id="rId12">
        <w:r w:rsidRPr="00AA67B0">
          <w:rPr>
            <w:rFonts w:ascii="Times New Roman" w:eastAsia="Times New Roman" w:hAnsi="Times New Roman" w:cs="Times New Roman"/>
            <w:color w:val="000000" w:themeColor="text1"/>
            <w:sz w:val="24"/>
            <w:szCs w:val="24"/>
            <w:u w:val="single"/>
            <w:lang w:val="es-ES"/>
          </w:rPr>
          <w:t>https://doi.org/http://dx.doi.org/10.6018/analesps.33.2.260391</w:t>
        </w:r>
      </w:hyperlink>
      <w:r w:rsidRPr="00AA67B0">
        <w:rPr>
          <w:rFonts w:ascii="Times New Roman" w:eastAsia="Times New Roman" w:hAnsi="Times New Roman" w:cs="Times New Roman"/>
          <w:color w:val="000000" w:themeColor="text1"/>
          <w:sz w:val="24"/>
          <w:szCs w:val="24"/>
          <w:lang w:val="es-ES"/>
        </w:rPr>
        <w:t xml:space="preserve">. </w:t>
      </w:r>
    </w:p>
    <w:p w14:paraId="52130A38" w14:textId="77777777" w:rsidR="00EB56D6"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Antonopoulou, P., Killian, M., &amp; Forrester, D. (2017). Levels of stress and anxiety in child and family social work: Workers’ perceptions of organizational structure, professional support and workplace opportunities in Children’s Services in the UK. </w:t>
      </w:r>
      <w:r w:rsidRPr="00AA67B0">
        <w:rPr>
          <w:rFonts w:ascii="Times New Roman" w:eastAsia="Times New Roman" w:hAnsi="Times New Roman" w:cs="Times New Roman"/>
          <w:i/>
          <w:color w:val="000000" w:themeColor="text1"/>
          <w:sz w:val="24"/>
          <w:szCs w:val="24"/>
        </w:rPr>
        <w:t>Children and Youth Services Review, 76</w:t>
      </w:r>
      <w:r w:rsidRPr="00AA67B0">
        <w:rPr>
          <w:rFonts w:ascii="Times New Roman" w:eastAsia="Times New Roman" w:hAnsi="Times New Roman" w:cs="Times New Roman"/>
          <w:color w:val="000000" w:themeColor="text1"/>
          <w:sz w:val="24"/>
          <w:szCs w:val="24"/>
        </w:rPr>
        <w:t xml:space="preserve">, 42–50. </w:t>
      </w:r>
      <w:hyperlink r:id="rId13">
        <w:r w:rsidRPr="00AA67B0">
          <w:rPr>
            <w:rFonts w:ascii="Times New Roman" w:eastAsia="Times New Roman" w:hAnsi="Times New Roman" w:cs="Times New Roman"/>
            <w:color w:val="000000" w:themeColor="text1"/>
            <w:sz w:val="24"/>
            <w:szCs w:val="24"/>
            <w:u w:val="single"/>
          </w:rPr>
          <w:t>https://doi.org/10.1016/j.childyouth.2017.02.028</w:t>
        </w:r>
      </w:hyperlink>
      <w:r w:rsidRPr="00AA67B0">
        <w:rPr>
          <w:rFonts w:ascii="Times New Roman" w:eastAsia="Times New Roman" w:hAnsi="Times New Roman" w:cs="Times New Roman"/>
          <w:color w:val="000000" w:themeColor="text1"/>
          <w:sz w:val="24"/>
          <w:szCs w:val="24"/>
        </w:rPr>
        <w:t>.</w:t>
      </w:r>
    </w:p>
    <w:p w14:paraId="3F7BDE9C" w14:textId="24110A7D" w:rsidR="00EB56D6"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Bargal, D.</w:t>
      </w:r>
      <w:r w:rsidR="008F53FB"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&amp; Guterman, N. (1996)</w:t>
      </w:r>
      <w:r w:rsidR="00FA276F"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Perceptions of job satisfaction, service effectiveness and burnout among social workers in Israel, </w:t>
      </w:r>
      <w:r w:rsidR="00E2133A" w:rsidRPr="00AA67B0">
        <w:rPr>
          <w:rFonts w:ascii="Times New Roman" w:eastAsia="Times New Roman" w:hAnsi="Times New Roman" w:cs="Times New Roman"/>
          <w:i/>
          <w:color w:val="000000" w:themeColor="text1"/>
          <w:sz w:val="24"/>
          <w:szCs w:val="24"/>
        </w:rPr>
        <w:t>Chevra U’Revecha (Society and Welfare, Hebrew)</w:t>
      </w:r>
      <w:r w:rsidRPr="00AA67B0">
        <w:rPr>
          <w:rFonts w:ascii="Times New Roman" w:eastAsia="Times New Roman" w:hAnsi="Times New Roman" w:cs="Times New Roman"/>
          <w:i/>
          <w:color w:val="000000" w:themeColor="text1"/>
          <w:sz w:val="24"/>
          <w:szCs w:val="24"/>
        </w:rPr>
        <w:t>, 16</w:t>
      </w:r>
      <w:r w:rsidRPr="00AA67B0">
        <w:rPr>
          <w:rFonts w:ascii="Times New Roman" w:eastAsia="Times New Roman" w:hAnsi="Times New Roman" w:cs="Times New Roman"/>
          <w:color w:val="000000" w:themeColor="text1"/>
          <w:sz w:val="24"/>
          <w:szCs w:val="24"/>
        </w:rPr>
        <w:t xml:space="preserve">(4), 541–65. </w:t>
      </w:r>
    </w:p>
    <w:p w14:paraId="1037C043" w14:textId="0D4F6F0E" w:rsidR="00EB56D6"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Crowder, R., &amp; Sears, A. (2017). Building </w:t>
      </w:r>
      <w:r w:rsidR="00FA276F" w:rsidRPr="00AA67B0">
        <w:rPr>
          <w:rFonts w:ascii="Times New Roman" w:eastAsia="Times New Roman" w:hAnsi="Times New Roman" w:cs="Times New Roman"/>
          <w:color w:val="000000" w:themeColor="text1"/>
          <w:sz w:val="24"/>
          <w:szCs w:val="24"/>
        </w:rPr>
        <w:t>resilience in social workers</w:t>
      </w:r>
      <w:r w:rsidRPr="00AA67B0">
        <w:rPr>
          <w:rFonts w:ascii="Times New Roman" w:eastAsia="Times New Roman" w:hAnsi="Times New Roman" w:cs="Times New Roman"/>
          <w:color w:val="000000" w:themeColor="text1"/>
          <w:sz w:val="24"/>
          <w:szCs w:val="24"/>
        </w:rPr>
        <w:t xml:space="preserve">: An </w:t>
      </w:r>
      <w:r w:rsidR="00FA276F" w:rsidRPr="00AA67B0">
        <w:rPr>
          <w:rFonts w:ascii="Times New Roman" w:eastAsia="Times New Roman" w:hAnsi="Times New Roman" w:cs="Times New Roman"/>
          <w:color w:val="000000" w:themeColor="text1"/>
          <w:sz w:val="24"/>
          <w:szCs w:val="24"/>
        </w:rPr>
        <w:t>exploratory study on the impacts of a mindfulness-based interventio</w:t>
      </w:r>
      <w:r w:rsidRPr="00AA67B0">
        <w:rPr>
          <w:rFonts w:ascii="Times New Roman" w:eastAsia="Times New Roman" w:hAnsi="Times New Roman" w:cs="Times New Roman"/>
          <w:color w:val="000000" w:themeColor="text1"/>
          <w:sz w:val="24"/>
          <w:szCs w:val="24"/>
        </w:rPr>
        <w:t xml:space="preserve">n. </w:t>
      </w:r>
      <w:r w:rsidRPr="00AA67B0">
        <w:rPr>
          <w:rFonts w:ascii="Times New Roman" w:eastAsia="Times New Roman" w:hAnsi="Times New Roman" w:cs="Times New Roman"/>
          <w:i/>
          <w:color w:val="000000" w:themeColor="text1"/>
          <w:sz w:val="24"/>
          <w:szCs w:val="24"/>
        </w:rPr>
        <w:t>Australian Social Work, 70</w:t>
      </w:r>
      <w:r w:rsidRPr="00AA67B0">
        <w:rPr>
          <w:rFonts w:ascii="Times New Roman" w:eastAsia="Times New Roman" w:hAnsi="Times New Roman" w:cs="Times New Roman"/>
          <w:color w:val="000000" w:themeColor="text1"/>
          <w:sz w:val="24"/>
          <w:szCs w:val="24"/>
        </w:rPr>
        <w:t xml:space="preserve">(1), 17–29. </w:t>
      </w:r>
      <w:hyperlink r:id="rId14">
        <w:r w:rsidRPr="00AA67B0">
          <w:rPr>
            <w:rFonts w:ascii="Times New Roman" w:eastAsia="Times New Roman" w:hAnsi="Times New Roman" w:cs="Times New Roman"/>
            <w:color w:val="000000" w:themeColor="text1"/>
            <w:sz w:val="24"/>
            <w:szCs w:val="24"/>
            <w:u w:val="single"/>
          </w:rPr>
          <w:t>https://doi.org/10.1080/0312407X.2016.1203965</w:t>
        </w:r>
      </w:hyperlink>
      <w:r w:rsidRPr="00AA67B0">
        <w:rPr>
          <w:rFonts w:ascii="Times New Roman" w:eastAsia="Times New Roman" w:hAnsi="Times New Roman" w:cs="Times New Roman"/>
          <w:color w:val="000000" w:themeColor="text1"/>
          <w:sz w:val="24"/>
          <w:szCs w:val="24"/>
        </w:rPr>
        <w:t>.</w:t>
      </w:r>
    </w:p>
    <w:p w14:paraId="358A8A15" w14:textId="52846769" w:rsidR="005012F3" w:rsidRPr="00AA67B0" w:rsidRDefault="005012F3">
      <w:pPr>
        <w:ind w:left="709" w:hanging="709"/>
        <w:rPr>
          <w:rFonts w:ascii="Times New Roman" w:hAnsi="Times New Roman" w:cs="Times New Roman"/>
          <w:color w:val="000000" w:themeColor="text1"/>
          <w:sz w:val="24"/>
          <w:szCs w:val="24"/>
          <w:lang w:val="en-US"/>
        </w:rPr>
      </w:pPr>
      <w:r w:rsidRPr="00AA67B0">
        <w:rPr>
          <w:rFonts w:ascii="Times New Roman" w:eastAsia="Times New Roman" w:hAnsi="Times New Roman" w:cs="Times New Roman"/>
          <w:color w:val="000000" w:themeColor="text1"/>
          <w:sz w:val="24"/>
          <w:szCs w:val="24"/>
          <w:lang w:val="es-ES"/>
        </w:rPr>
        <w:t xml:space="preserve">De la Fuente, I., &amp; Sánchez, E. (2012) Trabajo social, síndrome de estar quemado por el trabajo y malestar psíquico: un estudio empírico en una muestra de trabajadores sociales de la Comunidad de Madrid. </w:t>
      </w:r>
      <w:r w:rsidRPr="00AA67B0">
        <w:rPr>
          <w:rFonts w:ascii="Times New Roman" w:eastAsia="Times New Roman" w:hAnsi="Times New Roman" w:cs="Times New Roman"/>
          <w:i/>
          <w:color w:val="000000" w:themeColor="text1"/>
          <w:sz w:val="24"/>
          <w:szCs w:val="24"/>
          <w:lang w:val="en-US"/>
        </w:rPr>
        <w:t>Portularia</w:t>
      </w:r>
      <w:r w:rsidRPr="00AA67B0">
        <w:rPr>
          <w:rFonts w:ascii="Times New Roman" w:eastAsia="Times New Roman" w:hAnsi="Times New Roman" w:cs="Times New Roman"/>
          <w:color w:val="000000" w:themeColor="text1"/>
          <w:sz w:val="24"/>
          <w:szCs w:val="24"/>
          <w:lang w:val="en-US"/>
        </w:rPr>
        <w:t>, Vol. Extra XII, 121-130.</w:t>
      </w:r>
      <w:r w:rsidR="00535F40" w:rsidRPr="00AA67B0">
        <w:rPr>
          <w:rFonts w:ascii="Times New Roman" w:eastAsia="Times New Roman" w:hAnsi="Times New Roman" w:cs="Times New Roman"/>
          <w:color w:val="000000" w:themeColor="text1"/>
          <w:sz w:val="24"/>
          <w:szCs w:val="24"/>
          <w:lang w:val="en-US"/>
        </w:rPr>
        <w:t xml:space="preserve"> </w:t>
      </w:r>
      <w:hyperlink r:id="rId15" w:history="1">
        <w:r w:rsidR="00535F40" w:rsidRPr="00AA67B0">
          <w:rPr>
            <w:rStyle w:val="Hipervnculo"/>
            <w:rFonts w:ascii="Times New Roman" w:eastAsia="Times New Roman" w:hAnsi="Times New Roman" w:cs="Times New Roman"/>
            <w:color w:val="000000" w:themeColor="text1"/>
            <w:sz w:val="24"/>
            <w:szCs w:val="24"/>
            <w:lang w:val="en-US"/>
          </w:rPr>
          <w:t>https://doi</w:t>
        </w:r>
        <w:r w:rsidR="00535F40" w:rsidRPr="00AA67B0">
          <w:rPr>
            <w:rStyle w:val="Hipervnculo"/>
            <w:rFonts w:ascii="Times New Roman" w:hAnsi="Times New Roman" w:cs="Times New Roman"/>
            <w:color w:val="000000" w:themeColor="text1"/>
            <w:sz w:val="24"/>
            <w:szCs w:val="24"/>
            <w:lang w:val="en-US"/>
          </w:rPr>
          <w:t>:10.5218/prts.2012.0013</w:t>
        </w:r>
      </w:hyperlink>
      <w:r w:rsidR="00535F40" w:rsidRPr="00AA67B0">
        <w:rPr>
          <w:rFonts w:ascii="Times New Roman" w:eastAsia="Times New Roman" w:hAnsi="Times New Roman" w:cs="Times New Roman"/>
          <w:color w:val="000000" w:themeColor="text1"/>
          <w:sz w:val="24"/>
          <w:szCs w:val="24"/>
          <w:lang w:val="en-US"/>
        </w:rPr>
        <w:t>.</w:t>
      </w:r>
    </w:p>
    <w:p w14:paraId="58C95997" w14:textId="77777777" w:rsidR="00EB56D6"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Evans, S., Huxley, P., Gately, C., Webber, M., Mears, A., Pajak, A. H., … Katona, C. (1996). Mental health, burnout and job satisfaction among mental health social workers in England and Wales. </w:t>
      </w:r>
      <w:r w:rsidRPr="00AA67B0">
        <w:rPr>
          <w:rFonts w:ascii="Times New Roman" w:eastAsia="Times New Roman" w:hAnsi="Times New Roman" w:cs="Times New Roman"/>
          <w:i/>
          <w:color w:val="000000" w:themeColor="text1"/>
          <w:sz w:val="24"/>
          <w:szCs w:val="24"/>
        </w:rPr>
        <w:t>The British Journal of Psychiatry, 188</w:t>
      </w:r>
      <w:r w:rsidRPr="00AA67B0">
        <w:rPr>
          <w:rFonts w:ascii="Times New Roman" w:eastAsia="Times New Roman" w:hAnsi="Times New Roman" w:cs="Times New Roman"/>
          <w:color w:val="000000" w:themeColor="text1"/>
          <w:sz w:val="24"/>
          <w:szCs w:val="24"/>
        </w:rPr>
        <w:t xml:space="preserve">(1), 75–81. </w:t>
      </w:r>
      <w:hyperlink r:id="rId16">
        <w:r w:rsidRPr="00AA67B0">
          <w:rPr>
            <w:rFonts w:ascii="Times New Roman" w:eastAsia="Times New Roman" w:hAnsi="Times New Roman" w:cs="Times New Roman"/>
            <w:color w:val="000000" w:themeColor="text1"/>
            <w:sz w:val="24"/>
            <w:szCs w:val="24"/>
            <w:u w:val="single"/>
          </w:rPr>
          <w:t>https://doi.org/10.1192/bjp.188.1.75</w:t>
        </w:r>
      </w:hyperlink>
      <w:r w:rsidRPr="00AA67B0">
        <w:rPr>
          <w:rFonts w:ascii="Times New Roman" w:eastAsia="Times New Roman" w:hAnsi="Times New Roman" w:cs="Times New Roman"/>
          <w:color w:val="000000" w:themeColor="text1"/>
          <w:sz w:val="24"/>
          <w:szCs w:val="24"/>
        </w:rPr>
        <w:t>.</w:t>
      </w:r>
    </w:p>
    <w:p w14:paraId="3F7EE2E0" w14:textId="0A9B374D" w:rsidR="00EB56D6"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lang w:val="fr-FR"/>
        </w:rPr>
        <w:lastRenderedPageBreak/>
        <w:t xml:space="preserve">Finzi-Dottan, R., &amp; Kormosh, M. B. (2016). </w:t>
      </w:r>
      <w:r w:rsidRPr="00AA67B0">
        <w:rPr>
          <w:rFonts w:ascii="Times New Roman" w:eastAsia="Times New Roman" w:hAnsi="Times New Roman" w:cs="Times New Roman"/>
          <w:color w:val="000000" w:themeColor="text1"/>
          <w:sz w:val="24"/>
          <w:szCs w:val="24"/>
        </w:rPr>
        <w:t xml:space="preserve">Social </w:t>
      </w:r>
      <w:r w:rsidR="00FA276F" w:rsidRPr="00AA67B0">
        <w:rPr>
          <w:rFonts w:ascii="Times New Roman" w:eastAsia="Times New Roman" w:hAnsi="Times New Roman" w:cs="Times New Roman"/>
          <w:color w:val="000000" w:themeColor="text1"/>
          <w:sz w:val="24"/>
          <w:szCs w:val="24"/>
        </w:rPr>
        <w:t xml:space="preserve">workers </w:t>
      </w:r>
      <w:r w:rsidRPr="00AA67B0">
        <w:rPr>
          <w:rFonts w:ascii="Times New Roman" w:eastAsia="Times New Roman" w:hAnsi="Times New Roman" w:cs="Times New Roman"/>
          <w:color w:val="000000" w:themeColor="text1"/>
          <w:sz w:val="24"/>
          <w:szCs w:val="24"/>
        </w:rPr>
        <w:t>in Israel: Compassion</w:t>
      </w:r>
      <w:r w:rsidR="00FA276F" w:rsidRPr="00AA67B0">
        <w:rPr>
          <w:rFonts w:ascii="Times New Roman" w:eastAsia="Times New Roman" w:hAnsi="Times New Roman" w:cs="Times New Roman"/>
          <w:color w:val="000000" w:themeColor="text1"/>
          <w:sz w:val="24"/>
          <w:szCs w:val="24"/>
        </w:rPr>
        <w:t>, fatigue, and spillover into married life</w:t>
      </w:r>
      <w:r w:rsidRPr="00AA67B0">
        <w:rPr>
          <w:rFonts w:ascii="Times New Roman" w:eastAsia="Times New Roman" w:hAnsi="Times New Roman" w:cs="Times New Roman"/>
          <w:color w:val="000000" w:themeColor="text1"/>
          <w:sz w:val="24"/>
          <w:szCs w:val="24"/>
        </w:rPr>
        <w:t xml:space="preserve">. </w:t>
      </w:r>
      <w:r w:rsidRPr="00AA67B0">
        <w:rPr>
          <w:rFonts w:ascii="Times New Roman" w:eastAsia="Times New Roman" w:hAnsi="Times New Roman" w:cs="Times New Roman"/>
          <w:i/>
          <w:color w:val="000000" w:themeColor="text1"/>
          <w:sz w:val="24"/>
          <w:szCs w:val="24"/>
        </w:rPr>
        <w:t>Journal of Social Service Research, 42</w:t>
      </w:r>
      <w:r w:rsidRPr="00AA67B0">
        <w:rPr>
          <w:rFonts w:ascii="Times New Roman" w:eastAsia="Times New Roman" w:hAnsi="Times New Roman" w:cs="Times New Roman"/>
          <w:color w:val="000000" w:themeColor="text1"/>
          <w:sz w:val="24"/>
          <w:szCs w:val="24"/>
        </w:rPr>
        <w:t xml:space="preserve">(5), 703–717. </w:t>
      </w:r>
      <w:hyperlink r:id="rId17">
        <w:r w:rsidRPr="00AA67B0">
          <w:rPr>
            <w:rFonts w:ascii="Times New Roman" w:eastAsia="Times New Roman" w:hAnsi="Times New Roman" w:cs="Times New Roman"/>
            <w:color w:val="000000" w:themeColor="text1"/>
            <w:sz w:val="24"/>
            <w:szCs w:val="24"/>
            <w:u w:val="single"/>
          </w:rPr>
          <w:t>https://doi.org/10.1080/01488376.2016.1147515</w:t>
        </w:r>
      </w:hyperlink>
      <w:r w:rsidRPr="00AA67B0">
        <w:rPr>
          <w:rFonts w:ascii="Times New Roman" w:eastAsia="Times New Roman" w:hAnsi="Times New Roman" w:cs="Times New Roman"/>
          <w:color w:val="000000" w:themeColor="text1"/>
          <w:sz w:val="24"/>
          <w:szCs w:val="24"/>
        </w:rPr>
        <w:t>.</w:t>
      </w:r>
    </w:p>
    <w:p w14:paraId="01D2903C" w14:textId="77777777" w:rsidR="00EB56D6"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Freudenberger, H., &amp; Richelson, G. (1980). </w:t>
      </w:r>
      <w:r w:rsidRPr="00AA67B0">
        <w:rPr>
          <w:rFonts w:ascii="Times New Roman" w:eastAsia="Times New Roman" w:hAnsi="Times New Roman" w:cs="Times New Roman"/>
          <w:i/>
          <w:color w:val="000000" w:themeColor="text1"/>
          <w:sz w:val="24"/>
          <w:szCs w:val="24"/>
        </w:rPr>
        <w:t>Burnout: The high cost of high achievement</w:t>
      </w:r>
      <w:r w:rsidRPr="00AA67B0">
        <w:rPr>
          <w:rFonts w:ascii="Times New Roman" w:eastAsia="Times New Roman" w:hAnsi="Times New Roman" w:cs="Times New Roman"/>
          <w:color w:val="000000" w:themeColor="text1"/>
          <w:sz w:val="24"/>
          <w:szCs w:val="24"/>
        </w:rPr>
        <w:t>. New York: Anchor Press.</w:t>
      </w:r>
    </w:p>
    <w:p w14:paraId="05F3EDA5" w14:textId="77777777" w:rsidR="00EB56D6" w:rsidRPr="00AA67B0" w:rsidRDefault="004D1F5E">
      <w:pPr>
        <w:ind w:left="709" w:hanging="709"/>
        <w:rPr>
          <w:rFonts w:ascii="Times New Roman" w:eastAsia="Times New Roman" w:hAnsi="Times New Roman" w:cs="Times New Roman"/>
          <w:color w:val="000000" w:themeColor="text1"/>
          <w:sz w:val="24"/>
          <w:szCs w:val="24"/>
          <w:lang w:val="es-ES"/>
        </w:rPr>
      </w:pPr>
      <w:r w:rsidRPr="00AA67B0">
        <w:rPr>
          <w:rFonts w:ascii="Times New Roman" w:eastAsia="Times New Roman" w:hAnsi="Times New Roman" w:cs="Times New Roman"/>
          <w:color w:val="000000" w:themeColor="text1"/>
          <w:sz w:val="24"/>
          <w:szCs w:val="24"/>
        </w:rPr>
        <w:t xml:space="preserve">Fuqua, R., &amp; Couture, K. (1986). Burnout and locus of control in child day care staff. </w:t>
      </w:r>
      <w:r w:rsidRPr="00AA67B0">
        <w:rPr>
          <w:rFonts w:ascii="Times New Roman" w:eastAsia="Times New Roman" w:hAnsi="Times New Roman" w:cs="Times New Roman"/>
          <w:i/>
          <w:color w:val="000000" w:themeColor="text1"/>
          <w:sz w:val="24"/>
          <w:szCs w:val="24"/>
          <w:lang w:val="es-ES"/>
        </w:rPr>
        <w:t>Child Care Quarterly, 15</w:t>
      </w:r>
      <w:r w:rsidRPr="00AA67B0">
        <w:rPr>
          <w:rFonts w:ascii="Times New Roman" w:eastAsia="Times New Roman" w:hAnsi="Times New Roman" w:cs="Times New Roman"/>
          <w:color w:val="000000" w:themeColor="text1"/>
          <w:sz w:val="24"/>
          <w:szCs w:val="24"/>
          <w:lang w:val="es-ES"/>
        </w:rPr>
        <w:t xml:space="preserve">(2), 98–109. </w:t>
      </w:r>
      <w:hyperlink r:id="rId18">
        <w:r w:rsidRPr="00AA67B0">
          <w:rPr>
            <w:rFonts w:ascii="Times New Roman" w:eastAsia="Times New Roman" w:hAnsi="Times New Roman" w:cs="Times New Roman"/>
            <w:color w:val="000000" w:themeColor="text1"/>
            <w:sz w:val="24"/>
            <w:szCs w:val="24"/>
            <w:u w:val="single"/>
            <w:lang w:val="es-ES"/>
          </w:rPr>
          <w:t>https://doi.org/10.1007/BF01121154</w:t>
        </w:r>
      </w:hyperlink>
      <w:r w:rsidRPr="00AA67B0">
        <w:rPr>
          <w:rFonts w:ascii="Times New Roman" w:eastAsia="Times New Roman" w:hAnsi="Times New Roman" w:cs="Times New Roman"/>
          <w:color w:val="000000" w:themeColor="text1"/>
          <w:sz w:val="24"/>
          <w:szCs w:val="24"/>
          <w:lang w:val="es-ES"/>
        </w:rPr>
        <w:t xml:space="preserve">. </w:t>
      </w:r>
    </w:p>
    <w:p w14:paraId="79F08DFC" w14:textId="41DDAD47" w:rsidR="00EB56D6" w:rsidRPr="00AA67B0" w:rsidRDefault="004D1F5E">
      <w:pPr>
        <w:ind w:left="709" w:hanging="709"/>
        <w:rPr>
          <w:rFonts w:ascii="Times New Roman" w:eastAsia="Times New Roman" w:hAnsi="Times New Roman" w:cs="Times New Roman"/>
          <w:color w:val="000000" w:themeColor="text1"/>
          <w:sz w:val="24"/>
          <w:szCs w:val="24"/>
          <w:lang w:val="es-ES"/>
        </w:rPr>
      </w:pPr>
      <w:r w:rsidRPr="00AA67B0">
        <w:rPr>
          <w:rFonts w:ascii="Times New Roman" w:eastAsia="Times New Roman" w:hAnsi="Times New Roman" w:cs="Times New Roman"/>
          <w:color w:val="000000" w:themeColor="text1"/>
          <w:sz w:val="24"/>
          <w:szCs w:val="24"/>
          <w:lang w:val="es-ES"/>
        </w:rPr>
        <w:t>García, M. (1990)</w:t>
      </w:r>
      <w:r w:rsidR="004C3F5D" w:rsidRPr="00AA67B0">
        <w:rPr>
          <w:rFonts w:ascii="Times New Roman" w:eastAsia="Times New Roman" w:hAnsi="Times New Roman" w:cs="Times New Roman"/>
          <w:color w:val="000000" w:themeColor="text1"/>
          <w:sz w:val="24"/>
          <w:szCs w:val="24"/>
          <w:lang w:val="es-ES"/>
        </w:rPr>
        <w:t>.</w:t>
      </w:r>
      <w:r w:rsidRPr="00AA67B0">
        <w:rPr>
          <w:rFonts w:ascii="Times New Roman" w:eastAsia="Times New Roman" w:hAnsi="Times New Roman" w:cs="Times New Roman"/>
          <w:color w:val="000000" w:themeColor="text1"/>
          <w:sz w:val="24"/>
          <w:szCs w:val="24"/>
          <w:lang w:val="es-ES"/>
        </w:rPr>
        <w:t xml:space="preserve"> Burnout profesional en organizaciones. </w:t>
      </w:r>
      <w:r w:rsidRPr="00AA67B0">
        <w:rPr>
          <w:rFonts w:ascii="Times New Roman" w:eastAsia="Times New Roman" w:hAnsi="Times New Roman" w:cs="Times New Roman"/>
          <w:i/>
          <w:color w:val="000000" w:themeColor="text1"/>
          <w:sz w:val="24"/>
          <w:szCs w:val="24"/>
          <w:lang w:val="es-ES"/>
        </w:rPr>
        <w:t>Boletín de Psicología, 29</w:t>
      </w:r>
      <w:r w:rsidRPr="00AA67B0">
        <w:rPr>
          <w:rFonts w:ascii="Times New Roman" w:eastAsia="Times New Roman" w:hAnsi="Times New Roman" w:cs="Times New Roman"/>
          <w:color w:val="000000" w:themeColor="text1"/>
          <w:sz w:val="24"/>
          <w:szCs w:val="24"/>
          <w:lang w:val="es-ES"/>
        </w:rPr>
        <w:t>, 7</w:t>
      </w:r>
      <w:r w:rsidR="00FA276F" w:rsidRPr="00AA67B0">
        <w:rPr>
          <w:rFonts w:ascii="Times New Roman" w:eastAsia="Times New Roman" w:hAnsi="Times New Roman" w:cs="Times New Roman"/>
          <w:color w:val="000000" w:themeColor="text1"/>
          <w:sz w:val="24"/>
          <w:szCs w:val="24"/>
          <w:lang w:val="es-ES"/>
        </w:rPr>
        <w:t>–</w:t>
      </w:r>
      <w:r w:rsidRPr="00AA67B0">
        <w:rPr>
          <w:rFonts w:ascii="Times New Roman" w:eastAsia="Times New Roman" w:hAnsi="Times New Roman" w:cs="Times New Roman"/>
          <w:color w:val="000000" w:themeColor="text1"/>
          <w:sz w:val="24"/>
          <w:szCs w:val="24"/>
          <w:lang w:val="es-ES"/>
        </w:rPr>
        <w:t>27.</w:t>
      </w:r>
      <w:r w:rsidR="004C3F5D" w:rsidRPr="00AA67B0">
        <w:rPr>
          <w:rFonts w:ascii="Times New Roman" w:eastAsia="Times New Roman" w:hAnsi="Times New Roman" w:cs="Times New Roman"/>
          <w:color w:val="000000" w:themeColor="text1"/>
          <w:sz w:val="24"/>
          <w:szCs w:val="24"/>
          <w:lang w:val="es-ES"/>
        </w:rPr>
        <w:t xml:space="preserve"> Recuperado de </w:t>
      </w:r>
      <w:hyperlink r:id="rId19" w:history="1">
        <w:r w:rsidR="004C3F5D" w:rsidRPr="00AA67B0">
          <w:rPr>
            <w:rStyle w:val="Hipervnculo"/>
            <w:rFonts w:ascii="Times New Roman" w:eastAsia="Times New Roman" w:hAnsi="Times New Roman" w:cs="Times New Roman"/>
            <w:color w:val="000000" w:themeColor="text1"/>
            <w:sz w:val="24"/>
            <w:szCs w:val="24"/>
            <w:lang w:val="es-ES"/>
          </w:rPr>
          <w:t>https://www.uv.es/seoane/boletin/previos/General.htm</w:t>
        </w:r>
      </w:hyperlink>
      <w:r w:rsidR="004C3F5D" w:rsidRPr="00AA67B0">
        <w:rPr>
          <w:rFonts w:ascii="Times New Roman" w:eastAsia="Times New Roman" w:hAnsi="Times New Roman" w:cs="Times New Roman"/>
          <w:color w:val="000000" w:themeColor="text1"/>
          <w:sz w:val="24"/>
          <w:szCs w:val="24"/>
          <w:lang w:val="es-ES"/>
        </w:rPr>
        <w:t>.</w:t>
      </w:r>
    </w:p>
    <w:p w14:paraId="5502F997" w14:textId="71849207" w:rsidR="00AE7C1F" w:rsidRPr="00AA67B0" w:rsidRDefault="00AE7C1F" w:rsidP="00AE7C1F">
      <w:pPr>
        <w:ind w:left="709" w:hanging="709"/>
        <w:rPr>
          <w:rFonts w:ascii="Times New Roman" w:eastAsia="Times New Roman" w:hAnsi="Times New Roman" w:cs="Times New Roman"/>
          <w:color w:val="000000" w:themeColor="text1"/>
          <w:sz w:val="24"/>
          <w:szCs w:val="24"/>
          <w:lang w:val="es-ES"/>
        </w:rPr>
      </w:pPr>
      <w:r w:rsidRPr="00AA67B0">
        <w:rPr>
          <w:rFonts w:ascii="Times New Roman" w:eastAsia="Times New Roman" w:hAnsi="Times New Roman" w:cs="Times New Roman"/>
          <w:color w:val="000000" w:themeColor="text1"/>
          <w:sz w:val="24"/>
          <w:szCs w:val="24"/>
          <w:lang w:val="es-ES"/>
        </w:rPr>
        <w:t xml:space="preserve">Gil-Monte, P. R. (2002). Influencia del género sobre el proceso de desarrollo del síndrome de quemarse por el trabajo (Burnout) en profesionales de enfermería. </w:t>
      </w:r>
      <w:r w:rsidRPr="00AA67B0">
        <w:rPr>
          <w:rFonts w:ascii="Times New Roman" w:eastAsia="Times New Roman" w:hAnsi="Times New Roman" w:cs="Times New Roman"/>
          <w:i/>
          <w:color w:val="000000" w:themeColor="text1"/>
          <w:sz w:val="24"/>
          <w:szCs w:val="24"/>
          <w:lang w:val="es-ES"/>
        </w:rPr>
        <w:t>Psicologia em Estudo 7</w:t>
      </w:r>
      <w:r w:rsidRPr="00AA67B0">
        <w:rPr>
          <w:rFonts w:ascii="Times New Roman" w:eastAsia="Times New Roman" w:hAnsi="Times New Roman" w:cs="Times New Roman"/>
          <w:color w:val="000000" w:themeColor="text1"/>
          <w:sz w:val="24"/>
          <w:szCs w:val="24"/>
          <w:lang w:val="es-ES"/>
        </w:rPr>
        <w:t>(1), 3–10.</w:t>
      </w:r>
      <w:r w:rsidR="00303049" w:rsidRPr="00AA67B0">
        <w:rPr>
          <w:rFonts w:ascii="Times New Roman" w:eastAsia="Times New Roman" w:hAnsi="Times New Roman" w:cs="Times New Roman"/>
          <w:color w:val="000000" w:themeColor="text1"/>
          <w:sz w:val="24"/>
          <w:szCs w:val="24"/>
          <w:lang w:val="es-ES"/>
        </w:rPr>
        <w:t xml:space="preserve"> Recuperado en </w:t>
      </w:r>
      <w:hyperlink r:id="rId20" w:history="1">
        <w:r w:rsidR="00303049" w:rsidRPr="00AA67B0">
          <w:rPr>
            <w:rStyle w:val="Hipervnculo"/>
            <w:rFonts w:ascii="Times New Roman" w:eastAsia="Times New Roman" w:hAnsi="Times New Roman" w:cs="Times New Roman"/>
            <w:color w:val="000000" w:themeColor="text1"/>
            <w:sz w:val="24"/>
            <w:szCs w:val="24"/>
            <w:lang w:val="es-ES"/>
          </w:rPr>
          <w:t>http://www.scielo.br/pdf/%0D/pe/v7n1/v7n1a01.pdf</w:t>
        </w:r>
      </w:hyperlink>
      <w:r w:rsidR="00303049" w:rsidRPr="00AA67B0">
        <w:rPr>
          <w:rFonts w:ascii="Times New Roman" w:eastAsia="Times New Roman" w:hAnsi="Times New Roman" w:cs="Times New Roman"/>
          <w:color w:val="000000" w:themeColor="text1"/>
          <w:sz w:val="24"/>
          <w:szCs w:val="24"/>
          <w:lang w:val="es-ES"/>
        </w:rPr>
        <w:t>.</w:t>
      </w:r>
    </w:p>
    <w:p w14:paraId="1C83F27A" w14:textId="6E2E01AD" w:rsidR="00EB56D6" w:rsidRPr="00AA67B0" w:rsidRDefault="004D1F5E">
      <w:pPr>
        <w:ind w:left="709" w:hanging="709"/>
        <w:rPr>
          <w:rFonts w:ascii="Times New Roman" w:eastAsia="Times New Roman" w:hAnsi="Times New Roman" w:cs="Times New Roman"/>
          <w:color w:val="000000" w:themeColor="text1"/>
          <w:sz w:val="24"/>
          <w:szCs w:val="24"/>
          <w:lang w:val="es-ES"/>
        </w:rPr>
      </w:pPr>
      <w:r w:rsidRPr="00AA67B0">
        <w:rPr>
          <w:rFonts w:ascii="Times New Roman" w:eastAsia="Times New Roman" w:hAnsi="Times New Roman" w:cs="Times New Roman"/>
          <w:color w:val="000000" w:themeColor="text1"/>
          <w:sz w:val="24"/>
          <w:szCs w:val="24"/>
          <w:lang w:val="es-ES"/>
        </w:rPr>
        <w:t>Gil-Monte, P.</w:t>
      </w:r>
      <w:r w:rsidR="00AE7C1F" w:rsidRPr="00AA67B0">
        <w:rPr>
          <w:rFonts w:ascii="Times New Roman" w:eastAsia="Times New Roman" w:hAnsi="Times New Roman" w:cs="Times New Roman"/>
          <w:color w:val="000000" w:themeColor="text1"/>
          <w:sz w:val="24"/>
          <w:szCs w:val="24"/>
          <w:lang w:val="es-ES"/>
        </w:rPr>
        <w:t xml:space="preserve"> R.</w:t>
      </w:r>
      <w:r w:rsidRPr="00AA67B0">
        <w:rPr>
          <w:rFonts w:ascii="Times New Roman" w:eastAsia="Times New Roman" w:hAnsi="Times New Roman" w:cs="Times New Roman"/>
          <w:color w:val="000000" w:themeColor="text1"/>
          <w:sz w:val="24"/>
          <w:szCs w:val="24"/>
          <w:lang w:val="es-ES"/>
        </w:rPr>
        <w:t>, &amp; Peiró, J.</w:t>
      </w:r>
      <w:r w:rsidR="00933460" w:rsidRPr="00AA67B0">
        <w:rPr>
          <w:rFonts w:ascii="Times New Roman" w:eastAsia="Times New Roman" w:hAnsi="Times New Roman" w:cs="Times New Roman"/>
          <w:color w:val="000000" w:themeColor="text1"/>
          <w:sz w:val="24"/>
          <w:szCs w:val="24"/>
          <w:lang w:val="es-ES"/>
        </w:rPr>
        <w:t xml:space="preserve"> </w:t>
      </w:r>
      <w:r w:rsidRPr="00AA67B0">
        <w:rPr>
          <w:rFonts w:ascii="Times New Roman" w:eastAsia="Times New Roman" w:hAnsi="Times New Roman" w:cs="Times New Roman"/>
          <w:color w:val="000000" w:themeColor="text1"/>
          <w:sz w:val="24"/>
          <w:szCs w:val="24"/>
          <w:lang w:val="es-ES"/>
        </w:rPr>
        <w:t xml:space="preserve">M. (1997). </w:t>
      </w:r>
      <w:r w:rsidRPr="00AA67B0">
        <w:rPr>
          <w:rFonts w:ascii="Times New Roman" w:eastAsia="Times New Roman" w:hAnsi="Times New Roman" w:cs="Times New Roman"/>
          <w:i/>
          <w:color w:val="000000" w:themeColor="text1"/>
          <w:sz w:val="24"/>
          <w:szCs w:val="24"/>
          <w:lang w:val="es-ES"/>
        </w:rPr>
        <w:t>Desgaste psíquico en el trabajo. El síndrome de quemarse</w:t>
      </w:r>
      <w:r w:rsidRPr="00AA67B0">
        <w:rPr>
          <w:rFonts w:ascii="Times New Roman" w:eastAsia="Times New Roman" w:hAnsi="Times New Roman" w:cs="Times New Roman"/>
          <w:color w:val="000000" w:themeColor="text1"/>
          <w:sz w:val="24"/>
          <w:szCs w:val="24"/>
          <w:lang w:val="es-ES"/>
        </w:rPr>
        <w:t>. Madrid: Síntesis</w:t>
      </w:r>
      <w:r w:rsidR="00FA276F" w:rsidRPr="00AA67B0">
        <w:rPr>
          <w:rFonts w:ascii="Times New Roman" w:eastAsia="Times New Roman" w:hAnsi="Times New Roman" w:cs="Times New Roman"/>
          <w:color w:val="000000" w:themeColor="text1"/>
          <w:sz w:val="24"/>
          <w:szCs w:val="24"/>
          <w:lang w:val="es-ES"/>
        </w:rPr>
        <w:t>.</w:t>
      </w:r>
    </w:p>
    <w:p w14:paraId="6CDCF327" w14:textId="6AF0F2DC" w:rsidR="00EB56D6" w:rsidRPr="00AA67B0" w:rsidRDefault="004D1F5E">
      <w:pPr>
        <w:ind w:left="709" w:hanging="709"/>
        <w:rPr>
          <w:rFonts w:ascii="Times New Roman" w:eastAsia="Times New Roman" w:hAnsi="Times New Roman" w:cs="Times New Roman"/>
          <w:color w:val="000000" w:themeColor="text1"/>
          <w:sz w:val="24"/>
          <w:szCs w:val="24"/>
          <w:lang w:val="es-ES"/>
        </w:rPr>
      </w:pPr>
      <w:r w:rsidRPr="00AA67B0">
        <w:rPr>
          <w:rFonts w:ascii="Times New Roman" w:eastAsia="Times New Roman" w:hAnsi="Times New Roman" w:cs="Times New Roman"/>
          <w:color w:val="000000" w:themeColor="text1"/>
          <w:sz w:val="24"/>
          <w:szCs w:val="24"/>
          <w:lang w:val="es-ES"/>
        </w:rPr>
        <w:t>Gil-Monte, P.</w:t>
      </w:r>
      <w:r w:rsidR="00FA276F" w:rsidRPr="00AA67B0">
        <w:rPr>
          <w:rFonts w:ascii="Times New Roman" w:eastAsia="Times New Roman" w:hAnsi="Times New Roman" w:cs="Times New Roman"/>
          <w:color w:val="000000" w:themeColor="text1"/>
          <w:sz w:val="24"/>
          <w:szCs w:val="24"/>
          <w:lang w:val="es-ES"/>
        </w:rPr>
        <w:t xml:space="preserve"> </w:t>
      </w:r>
      <w:r w:rsidRPr="00AA67B0">
        <w:rPr>
          <w:rFonts w:ascii="Times New Roman" w:eastAsia="Times New Roman" w:hAnsi="Times New Roman" w:cs="Times New Roman"/>
          <w:color w:val="000000" w:themeColor="text1"/>
          <w:sz w:val="24"/>
          <w:szCs w:val="24"/>
          <w:lang w:val="es-ES"/>
        </w:rPr>
        <w:t>R., &amp; Peiró, J.</w:t>
      </w:r>
      <w:r w:rsidR="00FA276F" w:rsidRPr="00AA67B0">
        <w:rPr>
          <w:rFonts w:ascii="Times New Roman" w:eastAsia="Times New Roman" w:hAnsi="Times New Roman" w:cs="Times New Roman"/>
          <w:color w:val="000000" w:themeColor="text1"/>
          <w:sz w:val="24"/>
          <w:szCs w:val="24"/>
          <w:lang w:val="es-ES"/>
        </w:rPr>
        <w:t xml:space="preserve"> </w:t>
      </w:r>
      <w:r w:rsidRPr="00AA67B0">
        <w:rPr>
          <w:rFonts w:ascii="Times New Roman" w:eastAsia="Times New Roman" w:hAnsi="Times New Roman" w:cs="Times New Roman"/>
          <w:color w:val="000000" w:themeColor="text1"/>
          <w:sz w:val="24"/>
          <w:szCs w:val="24"/>
          <w:lang w:val="es-ES"/>
        </w:rPr>
        <w:t xml:space="preserve">M. (1999). Validez factorial del Maslach Burnout Inventory en una muestra multiocupacional. </w:t>
      </w:r>
      <w:r w:rsidRPr="00AA67B0">
        <w:rPr>
          <w:rFonts w:ascii="Times New Roman" w:eastAsia="Times New Roman" w:hAnsi="Times New Roman" w:cs="Times New Roman"/>
          <w:i/>
          <w:color w:val="000000" w:themeColor="text1"/>
          <w:sz w:val="24"/>
          <w:szCs w:val="24"/>
          <w:lang w:val="es-ES"/>
        </w:rPr>
        <w:t>Psicothema, 11</w:t>
      </w:r>
      <w:r w:rsidRPr="00AA67B0">
        <w:rPr>
          <w:rFonts w:ascii="Times New Roman" w:eastAsia="Times New Roman" w:hAnsi="Times New Roman" w:cs="Times New Roman"/>
          <w:color w:val="000000" w:themeColor="text1"/>
          <w:sz w:val="24"/>
          <w:szCs w:val="24"/>
          <w:lang w:val="es-ES"/>
        </w:rPr>
        <w:t>, 679</w:t>
      </w:r>
      <w:r w:rsidR="00933460" w:rsidRPr="00AA67B0">
        <w:rPr>
          <w:rFonts w:ascii="Times New Roman" w:eastAsia="Times New Roman" w:hAnsi="Times New Roman" w:cs="Times New Roman"/>
          <w:color w:val="000000" w:themeColor="text1"/>
          <w:sz w:val="24"/>
          <w:szCs w:val="24"/>
          <w:lang w:val="es-ES"/>
        </w:rPr>
        <w:t>–</w:t>
      </w:r>
      <w:r w:rsidRPr="00AA67B0">
        <w:rPr>
          <w:rFonts w:ascii="Times New Roman" w:eastAsia="Times New Roman" w:hAnsi="Times New Roman" w:cs="Times New Roman"/>
          <w:color w:val="000000" w:themeColor="text1"/>
          <w:sz w:val="24"/>
          <w:szCs w:val="24"/>
          <w:lang w:val="es-ES"/>
        </w:rPr>
        <w:t>689.</w:t>
      </w:r>
      <w:r w:rsidR="002C305C" w:rsidRPr="00AA67B0">
        <w:rPr>
          <w:rFonts w:ascii="Times New Roman" w:eastAsia="Times New Roman" w:hAnsi="Times New Roman" w:cs="Times New Roman"/>
          <w:color w:val="000000" w:themeColor="text1"/>
          <w:sz w:val="24"/>
          <w:szCs w:val="24"/>
          <w:lang w:val="es-ES"/>
        </w:rPr>
        <w:t xml:space="preserve"> Recuperado de </w:t>
      </w:r>
      <w:hyperlink r:id="rId21" w:history="1">
        <w:r w:rsidR="002C305C" w:rsidRPr="00AA67B0">
          <w:rPr>
            <w:rStyle w:val="Hipervnculo"/>
            <w:rFonts w:ascii="Times New Roman" w:eastAsia="Times New Roman" w:hAnsi="Times New Roman" w:cs="Times New Roman"/>
            <w:color w:val="000000" w:themeColor="text1"/>
            <w:sz w:val="24"/>
            <w:szCs w:val="24"/>
            <w:lang w:val="es-ES"/>
          </w:rPr>
          <w:t>http://www.psicothema.com/pdf/319.pdf</w:t>
        </w:r>
      </w:hyperlink>
      <w:r w:rsidR="002C305C" w:rsidRPr="00AA67B0">
        <w:rPr>
          <w:rFonts w:ascii="Times New Roman" w:eastAsia="Times New Roman" w:hAnsi="Times New Roman" w:cs="Times New Roman"/>
          <w:color w:val="000000" w:themeColor="text1"/>
          <w:sz w:val="24"/>
          <w:szCs w:val="24"/>
          <w:lang w:val="es-ES"/>
        </w:rPr>
        <w:t>.</w:t>
      </w:r>
    </w:p>
    <w:p w14:paraId="7369219E" w14:textId="2DA70C25" w:rsidR="00EB56D6"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lang w:val="es-ES"/>
        </w:rPr>
        <w:t xml:space="preserve">Gold, Y. (1985). </w:t>
      </w:r>
      <w:r w:rsidRPr="00AA67B0">
        <w:rPr>
          <w:rFonts w:ascii="Times New Roman" w:eastAsia="Times New Roman" w:hAnsi="Times New Roman" w:cs="Times New Roman"/>
          <w:color w:val="000000" w:themeColor="text1"/>
          <w:sz w:val="24"/>
          <w:szCs w:val="24"/>
        </w:rPr>
        <w:t xml:space="preserve">The </w:t>
      </w:r>
      <w:r w:rsidR="00933460" w:rsidRPr="00AA67B0">
        <w:rPr>
          <w:rFonts w:ascii="Times New Roman" w:eastAsia="Times New Roman" w:hAnsi="Times New Roman" w:cs="Times New Roman"/>
          <w:color w:val="000000" w:themeColor="text1"/>
          <w:sz w:val="24"/>
          <w:szCs w:val="24"/>
        </w:rPr>
        <w:t>relationship of six personal and life history variables to standing on three dimensions of t</w:t>
      </w:r>
      <w:r w:rsidRPr="00AA67B0">
        <w:rPr>
          <w:rFonts w:ascii="Times New Roman" w:eastAsia="Times New Roman" w:hAnsi="Times New Roman" w:cs="Times New Roman"/>
          <w:color w:val="000000" w:themeColor="text1"/>
          <w:sz w:val="24"/>
          <w:szCs w:val="24"/>
        </w:rPr>
        <w:t xml:space="preserve">he Maslach Burnout Inventory in </w:t>
      </w:r>
      <w:r w:rsidR="00933460" w:rsidRPr="00AA67B0">
        <w:rPr>
          <w:rFonts w:ascii="Times New Roman" w:eastAsia="Times New Roman" w:hAnsi="Times New Roman" w:cs="Times New Roman"/>
          <w:color w:val="000000" w:themeColor="text1"/>
          <w:sz w:val="24"/>
          <w:szCs w:val="24"/>
        </w:rPr>
        <w:t>a sample of elementary and junior high school teacher</w:t>
      </w:r>
      <w:r w:rsidRPr="00AA67B0">
        <w:rPr>
          <w:rFonts w:ascii="Times New Roman" w:eastAsia="Times New Roman" w:hAnsi="Times New Roman" w:cs="Times New Roman"/>
          <w:color w:val="000000" w:themeColor="text1"/>
          <w:sz w:val="24"/>
          <w:szCs w:val="24"/>
        </w:rPr>
        <w:t xml:space="preserve">s. </w:t>
      </w:r>
      <w:r w:rsidRPr="00AA67B0">
        <w:rPr>
          <w:rFonts w:ascii="Times New Roman" w:eastAsia="Times New Roman" w:hAnsi="Times New Roman" w:cs="Times New Roman"/>
          <w:i/>
          <w:color w:val="000000" w:themeColor="text1"/>
          <w:sz w:val="24"/>
          <w:szCs w:val="24"/>
        </w:rPr>
        <w:t>Educational and Psychological Measurement, 45</w:t>
      </w:r>
      <w:r w:rsidRPr="00AA67B0">
        <w:rPr>
          <w:rFonts w:ascii="Times New Roman" w:eastAsia="Times New Roman" w:hAnsi="Times New Roman" w:cs="Times New Roman"/>
          <w:color w:val="000000" w:themeColor="text1"/>
          <w:sz w:val="24"/>
          <w:szCs w:val="24"/>
        </w:rPr>
        <w:t xml:space="preserve">(2), 377–387. </w:t>
      </w:r>
      <w:hyperlink r:id="rId22">
        <w:r w:rsidRPr="00AA67B0">
          <w:rPr>
            <w:rFonts w:ascii="Times New Roman" w:eastAsia="Times New Roman" w:hAnsi="Times New Roman" w:cs="Times New Roman"/>
            <w:color w:val="000000" w:themeColor="text1"/>
            <w:sz w:val="24"/>
            <w:szCs w:val="24"/>
            <w:u w:val="single"/>
          </w:rPr>
          <w:t>https://doi.org/10.1177/001316448504500223</w:t>
        </w:r>
      </w:hyperlink>
      <w:r w:rsidRPr="00AA67B0">
        <w:rPr>
          <w:rFonts w:ascii="Times New Roman" w:eastAsia="Times New Roman" w:hAnsi="Times New Roman" w:cs="Times New Roman"/>
          <w:color w:val="000000" w:themeColor="text1"/>
          <w:sz w:val="24"/>
          <w:szCs w:val="24"/>
        </w:rPr>
        <w:t>.</w:t>
      </w:r>
    </w:p>
    <w:p w14:paraId="233B8D61" w14:textId="41826A3C" w:rsidR="00EB56D6" w:rsidRPr="00AA67B0" w:rsidRDefault="004D1F5E">
      <w:pPr>
        <w:ind w:left="709" w:hanging="709"/>
        <w:rPr>
          <w:rFonts w:ascii="Times New Roman" w:eastAsia="Times New Roman" w:hAnsi="Times New Roman" w:cs="Times New Roman"/>
          <w:color w:val="000000" w:themeColor="text1"/>
          <w:sz w:val="24"/>
          <w:szCs w:val="24"/>
          <w:lang w:val="es-ES"/>
        </w:rPr>
      </w:pPr>
      <w:r w:rsidRPr="00AA67B0">
        <w:rPr>
          <w:rFonts w:ascii="Times New Roman" w:eastAsia="Times New Roman" w:hAnsi="Times New Roman" w:cs="Times New Roman"/>
          <w:color w:val="000000" w:themeColor="text1"/>
          <w:sz w:val="24"/>
          <w:szCs w:val="24"/>
          <w:lang w:val="es-ES"/>
        </w:rPr>
        <w:t xml:space="preserve">Grau, A., &amp; Suñer, R. (2008). El Síndrome de Burnout en Trabajadores Sociales. </w:t>
      </w:r>
      <w:r w:rsidRPr="00AA67B0">
        <w:rPr>
          <w:rFonts w:ascii="Times New Roman" w:eastAsia="Times New Roman" w:hAnsi="Times New Roman" w:cs="Times New Roman"/>
          <w:i/>
          <w:color w:val="000000" w:themeColor="text1"/>
          <w:sz w:val="24"/>
          <w:szCs w:val="24"/>
          <w:lang w:val="es-ES"/>
        </w:rPr>
        <w:t>A</w:t>
      </w:r>
      <w:r w:rsidR="002C305C" w:rsidRPr="00AA67B0">
        <w:rPr>
          <w:rFonts w:ascii="Times New Roman" w:eastAsia="Times New Roman" w:hAnsi="Times New Roman" w:cs="Times New Roman"/>
          <w:i/>
          <w:color w:val="000000" w:themeColor="text1"/>
          <w:sz w:val="24"/>
          <w:szCs w:val="24"/>
          <w:lang w:val="es-ES"/>
        </w:rPr>
        <w:t>GATHOS</w:t>
      </w:r>
      <w:r w:rsidRPr="00AA67B0">
        <w:rPr>
          <w:rFonts w:ascii="Times New Roman" w:eastAsia="Times New Roman" w:hAnsi="Times New Roman" w:cs="Times New Roman"/>
          <w:color w:val="000000" w:themeColor="text1"/>
          <w:sz w:val="24"/>
          <w:szCs w:val="24"/>
          <w:lang w:val="es-ES"/>
        </w:rPr>
        <w:t xml:space="preserve">. </w:t>
      </w:r>
      <w:r w:rsidR="002C305C" w:rsidRPr="00AA67B0">
        <w:rPr>
          <w:rFonts w:ascii="Times New Roman" w:eastAsia="Times New Roman" w:hAnsi="Times New Roman" w:cs="Times New Roman"/>
          <w:i/>
          <w:color w:val="000000" w:themeColor="text1"/>
          <w:sz w:val="24"/>
          <w:szCs w:val="24"/>
          <w:lang w:val="es-ES"/>
        </w:rPr>
        <w:t>Atención Sociosanitaria y B</w:t>
      </w:r>
      <w:r w:rsidRPr="00AA67B0">
        <w:rPr>
          <w:rFonts w:ascii="Times New Roman" w:eastAsia="Times New Roman" w:hAnsi="Times New Roman" w:cs="Times New Roman"/>
          <w:i/>
          <w:color w:val="000000" w:themeColor="text1"/>
          <w:sz w:val="24"/>
          <w:szCs w:val="24"/>
          <w:lang w:val="es-ES"/>
        </w:rPr>
        <w:t>ienestar, 1,</w:t>
      </w:r>
      <w:r w:rsidR="00AE7C1F" w:rsidRPr="00AA67B0">
        <w:rPr>
          <w:rFonts w:ascii="Times New Roman" w:eastAsia="Times New Roman" w:hAnsi="Times New Roman" w:cs="Times New Roman"/>
          <w:i/>
          <w:color w:val="000000" w:themeColor="text1"/>
          <w:sz w:val="24"/>
          <w:szCs w:val="24"/>
          <w:lang w:val="es-ES"/>
        </w:rPr>
        <w:t xml:space="preserve"> </w:t>
      </w:r>
      <w:r w:rsidRPr="00AA67B0">
        <w:rPr>
          <w:rFonts w:ascii="Times New Roman" w:eastAsia="Times New Roman" w:hAnsi="Times New Roman" w:cs="Times New Roman"/>
          <w:color w:val="000000" w:themeColor="text1"/>
          <w:sz w:val="24"/>
          <w:szCs w:val="24"/>
          <w:lang w:val="es-ES"/>
        </w:rPr>
        <w:t>16</w:t>
      </w:r>
      <w:r w:rsidR="00933460" w:rsidRPr="00AA67B0">
        <w:rPr>
          <w:rFonts w:ascii="Times New Roman" w:eastAsia="Times New Roman" w:hAnsi="Times New Roman" w:cs="Times New Roman"/>
          <w:color w:val="000000" w:themeColor="text1"/>
          <w:sz w:val="24"/>
          <w:szCs w:val="24"/>
          <w:lang w:val="es-ES"/>
        </w:rPr>
        <w:t>–</w:t>
      </w:r>
      <w:r w:rsidRPr="00AA67B0">
        <w:rPr>
          <w:rFonts w:ascii="Times New Roman" w:eastAsia="Times New Roman" w:hAnsi="Times New Roman" w:cs="Times New Roman"/>
          <w:color w:val="000000" w:themeColor="text1"/>
          <w:sz w:val="24"/>
          <w:szCs w:val="24"/>
          <w:lang w:val="es-ES"/>
        </w:rPr>
        <w:t>22.</w:t>
      </w:r>
      <w:r w:rsidR="00303049" w:rsidRPr="00AA67B0">
        <w:rPr>
          <w:rFonts w:ascii="Times New Roman" w:eastAsia="Times New Roman" w:hAnsi="Times New Roman" w:cs="Times New Roman"/>
          <w:color w:val="000000" w:themeColor="text1"/>
          <w:sz w:val="24"/>
          <w:szCs w:val="24"/>
          <w:lang w:val="es-ES"/>
        </w:rPr>
        <w:t xml:space="preserve"> Recuperado en </w:t>
      </w:r>
      <w:hyperlink r:id="rId23" w:history="1">
        <w:r w:rsidR="00303049" w:rsidRPr="00AA67B0">
          <w:rPr>
            <w:rStyle w:val="Hipervnculo"/>
            <w:rFonts w:ascii="Times New Roman" w:eastAsia="Times New Roman" w:hAnsi="Times New Roman" w:cs="Times New Roman"/>
            <w:color w:val="000000" w:themeColor="text1"/>
            <w:sz w:val="24"/>
            <w:szCs w:val="24"/>
            <w:lang w:val="es-ES"/>
          </w:rPr>
          <w:t>https://dialnet.unirioja.es/servlet/articulo?codigo=2571539</w:t>
        </w:r>
      </w:hyperlink>
      <w:r w:rsidR="00303049" w:rsidRPr="00AA67B0">
        <w:rPr>
          <w:rFonts w:ascii="Times New Roman" w:eastAsia="Times New Roman" w:hAnsi="Times New Roman" w:cs="Times New Roman"/>
          <w:color w:val="000000" w:themeColor="text1"/>
          <w:sz w:val="24"/>
          <w:szCs w:val="24"/>
          <w:lang w:val="es-ES"/>
        </w:rPr>
        <w:t>.</w:t>
      </w:r>
    </w:p>
    <w:p w14:paraId="3EAB9A21" w14:textId="17F229E9" w:rsidR="00EB56D6" w:rsidRPr="00AA67B0" w:rsidRDefault="004D1F5E">
      <w:pPr>
        <w:ind w:left="709" w:hanging="709"/>
        <w:rPr>
          <w:rFonts w:ascii="Times New Roman" w:eastAsia="Times New Roman" w:hAnsi="Times New Roman" w:cs="Times New Roman"/>
          <w:color w:val="000000" w:themeColor="text1"/>
          <w:sz w:val="24"/>
          <w:szCs w:val="24"/>
          <w:lang w:val="es-ES"/>
        </w:rPr>
      </w:pPr>
      <w:r w:rsidRPr="00AA67B0">
        <w:rPr>
          <w:rFonts w:ascii="Times New Roman" w:eastAsia="Times New Roman" w:hAnsi="Times New Roman" w:cs="Times New Roman"/>
          <w:color w:val="000000" w:themeColor="text1"/>
          <w:sz w:val="24"/>
          <w:szCs w:val="24"/>
          <w:lang w:val="es-ES"/>
        </w:rPr>
        <w:t xml:space="preserve">Grau, A., Flichtentrei, D., Suñer, R., &amp; Prats, M. (2007). Influencia de factores personales, profesionales, y transnacionales en el síndrome de burnout en personal sanitario hispanoamericano y español. </w:t>
      </w:r>
      <w:r w:rsidRPr="00AA67B0">
        <w:rPr>
          <w:rFonts w:ascii="Times New Roman" w:eastAsia="Times New Roman" w:hAnsi="Times New Roman" w:cs="Times New Roman"/>
          <w:i/>
          <w:color w:val="000000" w:themeColor="text1"/>
          <w:sz w:val="24"/>
          <w:szCs w:val="24"/>
          <w:lang w:val="es-ES"/>
        </w:rPr>
        <w:t>Revista Española de Salud Pública, 83</w:t>
      </w:r>
      <w:r w:rsidRPr="00AA67B0">
        <w:rPr>
          <w:rFonts w:ascii="Times New Roman" w:eastAsia="Times New Roman" w:hAnsi="Times New Roman" w:cs="Times New Roman"/>
          <w:color w:val="000000" w:themeColor="text1"/>
          <w:sz w:val="24"/>
          <w:szCs w:val="24"/>
          <w:lang w:val="es-ES"/>
        </w:rPr>
        <w:t>(2), 215</w:t>
      </w:r>
      <w:r w:rsidR="00933460" w:rsidRPr="00AA67B0">
        <w:rPr>
          <w:rFonts w:ascii="Times New Roman" w:eastAsia="Times New Roman" w:hAnsi="Times New Roman" w:cs="Times New Roman"/>
          <w:color w:val="000000" w:themeColor="text1"/>
          <w:sz w:val="24"/>
          <w:szCs w:val="24"/>
          <w:lang w:val="es-ES"/>
        </w:rPr>
        <w:t>–</w:t>
      </w:r>
      <w:r w:rsidRPr="00AA67B0">
        <w:rPr>
          <w:rFonts w:ascii="Times New Roman" w:eastAsia="Times New Roman" w:hAnsi="Times New Roman" w:cs="Times New Roman"/>
          <w:color w:val="000000" w:themeColor="text1"/>
          <w:sz w:val="24"/>
          <w:szCs w:val="24"/>
          <w:lang w:val="es-ES"/>
        </w:rPr>
        <w:t>230.</w:t>
      </w:r>
      <w:r w:rsidR="00303049" w:rsidRPr="00AA67B0">
        <w:rPr>
          <w:rFonts w:ascii="Times New Roman" w:eastAsia="Times New Roman" w:hAnsi="Times New Roman" w:cs="Times New Roman"/>
          <w:color w:val="000000" w:themeColor="text1"/>
          <w:sz w:val="24"/>
          <w:szCs w:val="24"/>
          <w:lang w:val="es-ES"/>
        </w:rPr>
        <w:t xml:space="preserve"> Recuperado en </w:t>
      </w:r>
      <w:hyperlink r:id="rId24" w:history="1">
        <w:r w:rsidR="00303049" w:rsidRPr="00AA67B0">
          <w:rPr>
            <w:rStyle w:val="Hipervnculo"/>
            <w:rFonts w:ascii="Times New Roman" w:eastAsia="Times New Roman" w:hAnsi="Times New Roman" w:cs="Times New Roman"/>
            <w:color w:val="000000" w:themeColor="text1"/>
            <w:sz w:val="24"/>
            <w:szCs w:val="24"/>
            <w:lang w:val="es-ES"/>
          </w:rPr>
          <w:t>http://scielo.isciii.es/pdf/resp/v83n2/original1.pdf</w:t>
        </w:r>
      </w:hyperlink>
      <w:r w:rsidR="00303049" w:rsidRPr="00AA67B0">
        <w:rPr>
          <w:rFonts w:ascii="Times New Roman" w:eastAsia="Times New Roman" w:hAnsi="Times New Roman" w:cs="Times New Roman"/>
          <w:color w:val="000000" w:themeColor="text1"/>
          <w:sz w:val="24"/>
          <w:szCs w:val="24"/>
          <w:lang w:val="es-ES"/>
        </w:rPr>
        <w:t>.</w:t>
      </w:r>
    </w:p>
    <w:p w14:paraId="5844C04C" w14:textId="637C065F" w:rsidR="00EB56D6"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lang w:val="en-US"/>
        </w:rPr>
        <w:t xml:space="preserve">Grigsby, D. W., &amp; McKnew, M. A. (1988). </w:t>
      </w:r>
      <w:r w:rsidRPr="00AA67B0">
        <w:rPr>
          <w:rFonts w:ascii="Times New Roman" w:eastAsia="Times New Roman" w:hAnsi="Times New Roman" w:cs="Times New Roman"/>
          <w:color w:val="000000" w:themeColor="text1"/>
          <w:sz w:val="24"/>
          <w:szCs w:val="24"/>
        </w:rPr>
        <w:t xml:space="preserve">Work-stress burnout among paramedics. </w:t>
      </w:r>
      <w:r w:rsidRPr="00AA67B0">
        <w:rPr>
          <w:rFonts w:ascii="Times New Roman" w:eastAsia="Times New Roman" w:hAnsi="Times New Roman" w:cs="Times New Roman"/>
          <w:i/>
          <w:color w:val="000000" w:themeColor="text1"/>
          <w:sz w:val="24"/>
          <w:szCs w:val="24"/>
        </w:rPr>
        <w:t>Psychological Reports, 63</w:t>
      </w:r>
      <w:r w:rsidRPr="00AA67B0">
        <w:rPr>
          <w:rFonts w:ascii="Times New Roman" w:eastAsia="Times New Roman" w:hAnsi="Times New Roman" w:cs="Times New Roman"/>
          <w:color w:val="000000" w:themeColor="text1"/>
          <w:sz w:val="24"/>
          <w:szCs w:val="24"/>
        </w:rPr>
        <w:t>(1), 55</w:t>
      </w:r>
      <w:r w:rsidR="00933460"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64. </w:t>
      </w:r>
      <w:hyperlink r:id="rId25">
        <w:r w:rsidRPr="00AA67B0">
          <w:rPr>
            <w:rFonts w:ascii="Times New Roman" w:eastAsia="Times New Roman" w:hAnsi="Times New Roman" w:cs="Times New Roman"/>
            <w:color w:val="000000" w:themeColor="text1"/>
            <w:sz w:val="24"/>
            <w:szCs w:val="24"/>
            <w:u w:val="single"/>
          </w:rPr>
          <w:t>http://dx.doi.org/10.2466/pr0.1988.63.1.55</w:t>
        </w:r>
      </w:hyperlink>
      <w:r w:rsidRPr="00AA67B0">
        <w:rPr>
          <w:rFonts w:ascii="Times New Roman" w:eastAsia="Times New Roman" w:hAnsi="Times New Roman" w:cs="Times New Roman"/>
          <w:color w:val="000000" w:themeColor="text1"/>
          <w:sz w:val="24"/>
          <w:szCs w:val="24"/>
        </w:rPr>
        <w:t xml:space="preserve">. </w:t>
      </w:r>
    </w:p>
    <w:p w14:paraId="60921B6B" w14:textId="2310FA99" w:rsidR="00EB56D6" w:rsidRPr="00AA67B0" w:rsidRDefault="004D1F5E">
      <w:pPr>
        <w:ind w:left="709" w:hanging="709"/>
        <w:rPr>
          <w:rFonts w:ascii="Times New Roman" w:eastAsia="Times New Roman" w:hAnsi="Times New Roman" w:cs="Times New Roman"/>
          <w:color w:val="000000" w:themeColor="text1"/>
          <w:sz w:val="24"/>
          <w:szCs w:val="24"/>
          <w:lang w:val="es-ES"/>
        </w:rPr>
      </w:pPr>
      <w:r w:rsidRPr="00AA67B0">
        <w:rPr>
          <w:rFonts w:ascii="Times New Roman" w:eastAsia="Times New Roman" w:hAnsi="Times New Roman" w:cs="Times New Roman"/>
          <w:color w:val="000000" w:themeColor="text1"/>
          <w:sz w:val="24"/>
          <w:szCs w:val="24"/>
        </w:rPr>
        <w:t xml:space="preserve">Guy, M. E., Newman, M. A., Mastracci, S. H., &amp; Maynard-Moody, S. (2010). Emotional labor in the human service organization. In Y. Hasenfeld (Ed.), </w:t>
      </w:r>
      <w:r w:rsidRPr="00AA67B0">
        <w:rPr>
          <w:rFonts w:ascii="Times New Roman" w:eastAsia="Times New Roman" w:hAnsi="Times New Roman" w:cs="Times New Roman"/>
          <w:i/>
          <w:color w:val="000000" w:themeColor="text1"/>
          <w:sz w:val="24"/>
          <w:szCs w:val="24"/>
        </w:rPr>
        <w:t>Human services as complex organizations</w:t>
      </w:r>
      <w:r w:rsidRPr="00AA67B0">
        <w:rPr>
          <w:rFonts w:ascii="Times New Roman" w:eastAsia="Times New Roman" w:hAnsi="Times New Roman" w:cs="Times New Roman"/>
          <w:color w:val="000000" w:themeColor="text1"/>
          <w:sz w:val="24"/>
          <w:szCs w:val="24"/>
        </w:rPr>
        <w:t xml:space="preserve"> (</w:t>
      </w:r>
      <w:r w:rsidR="00933460" w:rsidRPr="00AA67B0">
        <w:rPr>
          <w:rFonts w:ascii="Times New Roman" w:eastAsia="Times New Roman" w:hAnsi="Times New Roman" w:cs="Times New Roman"/>
          <w:color w:val="000000" w:themeColor="text1"/>
          <w:sz w:val="24"/>
          <w:szCs w:val="24"/>
        </w:rPr>
        <w:t xml:space="preserve">pp. </w:t>
      </w:r>
      <w:r w:rsidRPr="00AA67B0">
        <w:rPr>
          <w:rFonts w:ascii="Times New Roman" w:eastAsia="Times New Roman" w:hAnsi="Times New Roman" w:cs="Times New Roman"/>
          <w:color w:val="000000" w:themeColor="text1"/>
          <w:sz w:val="24"/>
          <w:szCs w:val="24"/>
        </w:rPr>
        <w:t xml:space="preserve">291–309). </w:t>
      </w:r>
      <w:r w:rsidRPr="00AA67B0">
        <w:rPr>
          <w:rFonts w:ascii="Times New Roman" w:eastAsia="Times New Roman" w:hAnsi="Times New Roman" w:cs="Times New Roman"/>
          <w:color w:val="000000" w:themeColor="text1"/>
          <w:sz w:val="24"/>
          <w:szCs w:val="24"/>
          <w:lang w:val="es-ES"/>
        </w:rPr>
        <w:t>Newbury Park, CA: Sage.</w:t>
      </w:r>
    </w:p>
    <w:p w14:paraId="5AD99BF3" w14:textId="77777777" w:rsidR="004C3F5D"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lang w:val="es-ES"/>
        </w:rPr>
        <w:t xml:space="preserve">Hadziolova, I. (1988). La edad y el sexo en relación con el estrés profesional. In R. Kalimo, M. Batawi, &amp; C. Cooper (comp.), </w:t>
      </w:r>
      <w:r w:rsidRPr="00AA67B0">
        <w:rPr>
          <w:rFonts w:ascii="Times New Roman" w:eastAsia="Times New Roman" w:hAnsi="Times New Roman" w:cs="Times New Roman"/>
          <w:i/>
          <w:color w:val="000000" w:themeColor="text1"/>
          <w:sz w:val="24"/>
          <w:szCs w:val="24"/>
          <w:lang w:val="es-ES"/>
        </w:rPr>
        <w:t>Los factores psicosociales en el trabajo</w:t>
      </w:r>
      <w:r w:rsidRPr="00AA67B0">
        <w:rPr>
          <w:rFonts w:ascii="Times New Roman" w:eastAsia="Times New Roman" w:hAnsi="Times New Roman" w:cs="Times New Roman"/>
          <w:color w:val="000000" w:themeColor="text1"/>
          <w:sz w:val="24"/>
          <w:szCs w:val="24"/>
          <w:lang w:val="es-ES"/>
        </w:rPr>
        <w:t xml:space="preserve"> (pp. 138</w:t>
      </w:r>
      <w:r w:rsidR="00933460" w:rsidRPr="00AA67B0">
        <w:rPr>
          <w:rFonts w:ascii="Times New Roman" w:eastAsia="Times New Roman" w:hAnsi="Times New Roman" w:cs="Times New Roman"/>
          <w:color w:val="000000" w:themeColor="text1"/>
          <w:sz w:val="24"/>
          <w:szCs w:val="24"/>
          <w:lang w:val="es-ES"/>
        </w:rPr>
        <w:t>–</w:t>
      </w:r>
      <w:r w:rsidRPr="00AA67B0">
        <w:rPr>
          <w:rFonts w:ascii="Times New Roman" w:eastAsia="Times New Roman" w:hAnsi="Times New Roman" w:cs="Times New Roman"/>
          <w:color w:val="000000" w:themeColor="text1"/>
          <w:sz w:val="24"/>
          <w:szCs w:val="24"/>
          <w:lang w:val="es-ES"/>
        </w:rPr>
        <w:t xml:space="preserve">147). </w:t>
      </w:r>
      <w:r w:rsidRPr="00AA67B0">
        <w:rPr>
          <w:rFonts w:ascii="Times New Roman" w:eastAsia="Times New Roman" w:hAnsi="Times New Roman" w:cs="Times New Roman"/>
          <w:color w:val="000000" w:themeColor="text1"/>
          <w:sz w:val="24"/>
          <w:szCs w:val="24"/>
        </w:rPr>
        <w:t>Ginebra: OMS.</w:t>
      </w:r>
      <w:r w:rsidR="004C3F5D" w:rsidRPr="00AA67B0">
        <w:rPr>
          <w:rFonts w:ascii="Times New Roman" w:eastAsia="Times New Roman" w:hAnsi="Times New Roman" w:cs="Times New Roman"/>
          <w:color w:val="000000" w:themeColor="text1"/>
          <w:sz w:val="24"/>
          <w:szCs w:val="24"/>
        </w:rPr>
        <w:t xml:space="preserve"> </w:t>
      </w:r>
    </w:p>
    <w:p w14:paraId="3FAE022F" w14:textId="77777777" w:rsidR="00EB56D6"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lastRenderedPageBreak/>
        <w:t xml:space="preserve">Jayaratne, S., &amp; Chess, W. A. (1984). Job satisfaction, burnout, and turnover: a national study. </w:t>
      </w:r>
      <w:r w:rsidRPr="00AA67B0">
        <w:rPr>
          <w:rFonts w:ascii="Times New Roman" w:eastAsia="Times New Roman" w:hAnsi="Times New Roman" w:cs="Times New Roman"/>
          <w:i/>
          <w:color w:val="000000" w:themeColor="text1"/>
          <w:sz w:val="24"/>
          <w:szCs w:val="24"/>
        </w:rPr>
        <w:t>The Social Worker, 29</w:t>
      </w:r>
      <w:r w:rsidRPr="00AA67B0">
        <w:rPr>
          <w:rFonts w:ascii="Times New Roman" w:eastAsia="Times New Roman" w:hAnsi="Times New Roman" w:cs="Times New Roman"/>
          <w:color w:val="000000" w:themeColor="text1"/>
          <w:sz w:val="24"/>
          <w:szCs w:val="24"/>
        </w:rPr>
        <w:t xml:space="preserve">(5), 448–453. </w:t>
      </w:r>
      <w:hyperlink r:id="rId26">
        <w:r w:rsidRPr="00AA67B0">
          <w:rPr>
            <w:rFonts w:ascii="Times New Roman" w:eastAsia="Times New Roman" w:hAnsi="Times New Roman" w:cs="Times New Roman"/>
            <w:color w:val="000000" w:themeColor="text1"/>
            <w:sz w:val="24"/>
            <w:szCs w:val="24"/>
            <w:u w:val="single"/>
          </w:rPr>
          <w:t>https://doi.org/10.1093/sw/29.5.448</w:t>
        </w:r>
      </w:hyperlink>
      <w:r w:rsidRPr="00AA67B0">
        <w:rPr>
          <w:rFonts w:ascii="Times New Roman" w:eastAsia="Times New Roman" w:hAnsi="Times New Roman" w:cs="Times New Roman"/>
          <w:color w:val="000000" w:themeColor="text1"/>
          <w:sz w:val="24"/>
          <w:szCs w:val="24"/>
        </w:rPr>
        <w:t>.</w:t>
      </w:r>
    </w:p>
    <w:p w14:paraId="1196970D" w14:textId="7FF635CB" w:rsidR="00EB56D6"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Jayaratne, S., Vinokur-Kaplan, D.</w:t>
      </w:r>
      <w:r w:rsidR="00933460"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&amp; Chess, W. A. (1995)</w:t>
      </w:r>
      <w:r w:rsidR="00933460"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The importance of personal control: A comparison of social workers in private practice and public agency settings, </w:t>
      </w:r>
      <w:r w:rsidRPr="00AA67B0">
        <w:rPr>
          <w:rFonts w:ascii="Times New Roman" w:eastAsia="Times New Roman" w:hAnsi="Times New Roman" w:cs="Times New Roman"/>
          <w:i/>
          <w:color w:val="000000" w:themeColor="text1"/>
          <w:sz w:val="24"/>
          <w:szCs w:val="24"/>
        </w:rPr>
        <w:t>Journal of Applied Social Sciences</w:t>
      </w:r>
      <w:r w:rsidRPr="00AA67B0">
        <w:rPr>
          <w:rFonts w:ascii="Times New Roman" w:eastAsia="Times New Roman" w:hAnsi="Times New Roman" w:cs="Times New Roman"/>
          <w:color w:val="000000" w:themeColor="text1"/>
          <w:sz w:val="24"/>
          <w:szCs w:val="24"/>
        </w:rPr>
        <w:t xml:space="preserve">, 19(1), 47–59. </w:t>
      </w:r>
      <w:hyperlink r:id="rId27" w:history="1">
        <w:r w:rsidR="00303049" w:rsidRPr="00AA67B0">
          <w:rPr>
            <w:rStyle w:val="Hipervnculo"/>
            <w:rFonts w:ascii="Times New Roman" w:eastAsia="Times New Roman" w:hAnsi="Times New Roman" w:cs="Times New Roman"/>
            <w:color w:val="000000" w:themeColor="text1"/>
            <w:sz w:val="24"/>
            <w:szCs w:val="24"/>
          </w:rPr>
          <w:t>https://psycnet.apa.org/record/1995-41926-001</w:t>
        </w:r>
      </w:hyperlink>
      <w:r w:rsidR="00303049" w:rsidRPr="00AA67B0">
        <w:rPr>
          <w:rFonts w:ascii="Times New Roman" w:eastAsia="Times New Roman" w:hAnsi="Times New Roman" w:cs="Times New Roman"/>
          <w:color w:val="000000" w:themeColor="text1"/>
          <w:sz w:val="24"/>
          <w:szCs w:val="24"/>
        </w:rPr>
        <w:t>.</w:t>
      </w:r>
    </w:p>
    <w:p w14:paraId="72D640E1" w14:textId="77777777" w:rsidR="00EB56D6"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Kim, H. (2011). Job conditions, unmet expectations, and burnout in public child welfare workers: How different from other social workers? </w:t>
      </w:r>
      <w:r w:rsidRPr="00AA67B0">
        <w:rPr>
          <w:rFonts w:ascii="Times New Roman" w:eastAsia="Times New Roman" w:hAnsi="Times New Roman" w:cs="Times New Roman"/>
          <w:i/>
          <w:color w:val="000000" w:themeColor="text1"/>
          <w:sz w:val="24"/>
          <w:szCs w:val="24"/>
        </w:rPr>
        <w:t>Children and Youth Services Review, 33</w:t>
      </w:r>
      <w:r w:rsidRPr="00AA67B0">
        <w:rPr>
          <w:rFonts w:ascii="Times New Roman" w:eastAsia="Times New Roman" w:hAnsi="Times New Roman" w:cs="Times New Roman"/>
          <w:color w:val="000000" w:themeColor="text1"/>
          <w:sz w:val="24"/>
          <w:szCs w:val="24"/>
        </w:rPr>
        <w:t xml:space="preserve">(2), 358–367. </w:t>
      </w:r>
      <w:hyperlink r:id="rId28">
        <w:r w:rsidRPr="00AA67B0">
          <w:rPr>
            <w:rFonts w:ascii="Times New Roman" w:eastAsia="Times New Roman" w:hAnsi="Times New Roman" w:cs="Times New Roman"/>
            <w:color w:val="000000" w:themeColor="text1"/>
            <w:sz w:val="24"/>
            <w:szCs w:val="24"/>
            <w:u w:val="single"/>
          </w:rPr>
          <w:t>https://doi.org/10.1016/j.childyouth.2010.10.001</w:t>
        </w:r>
      </w:hyperlink>
      <w:r w:rsidRPr="00AA67B0">
        <w:rPr>
          <w:rFonts w:ascii="Times New Roman" w:eastAsia="Times New Roman" w:hAnsi="Times New Roman" w:cs="Times New Roman"/>
          <w:color w:val="000000" w:themeColor="text1"/>
          <w:sz w:val="24"/>
          <w:szCs w:val="24"/>
        </w:rPr>
        <w:t>.</w:t>
      </w:r>
    </w:p>
    <w:p w14:paraId="2083DBFF" w14:textId="62F9E534" w:rsidR="00EB56D6" w:rsidRPr="00AA67B0" w:rsidRDefault="004D1F5E">
      <w:pPr>
        <w:ind w:left="709" w:hanging="709"/>
        <w:rPr>
          <w:rFonts w:ascii="Times New Roman" w:eastAsia="Times New Roman" w:hAnsi="Times New Roman" w:cs="Times New Roman"/>
          <w:color w:val="000000" w:themeColor="text1"/>
          <w:sz w:val="24"/>
          <w:szCs w:val="24"/>
          <w:lang w:val="es-ES"/>
        </w:rPr>
      </w:pPr>
      <w:r w:rsidRPr="00AA67B0">
        <w:rPr>
          <w:rFonts w:ascii="Times New Roman" w:eastAsia="Times New Roman" w:hAnsi="Times New Roman" w:cs="Times New Roman"/>
          <w:color w:val="000000" w:themeColor="text1"/>
          <w:sz w:val="24"/>
          <w:szCs w:val="24"/>
          <w:lang w:val="es-ES"/>
        </w:rPr>
        <w:t xml:space="preserve">Lázaro, S. (2004). El desgaste profesional (síndrome de Burnout) en los trabajadores sociales. </w:t>
      </w:r>
      <w:r w:rsidRPr="00AA67B0">
        <w:rPr>
          <w:rFonts w:ascii="Times New Roman" w:eastAsia="Times New Roman" w:hAnsi="Times New Roman" w:cs="Times New Roman"/>
          <w:i/>
          <w:color w:val="000000" w:themeColor="text1"/>
          <w:sz w:val="24"/>
          <w:szCs w:val="24"/>
          <w:lang w:val="es-ES"/>
        </w:rPr>
        <w:t>Portularia: Revista De Trabajo Social, 4</w:t>
      </w:r>
      <w:r w:rsidRPr="00AA67B0">
        <w:rPr>
          <w:rFonts w:ascii="Times New Roman" w:eastAsia="Times New Roman" w:hAnsi="Times New Roman" w:cs="Times New Roman"/>
          <w:color w:val="000000" w:themeColor="text1"/>
          <w:sz w:val="24"/>
          <w:szCs w:val="24"/>
          <w:lang w:val="es-ES"/>
        </w:rPr>
        <w:t>, 499</w:t>
      </w:r>
      <w:r w:rsidR="00933460" w:rsidRPr="00AA67B0">
        <w:rPr>
          <w:rFonts w:ascii="Times New Roman" w:eastAsia="Times New Roman" w:hAnsi="Times New Roman" w:cs="Times New Roman"/>
          <w:color w:val="000000" w:themeColor="text1"/>
          <w:sz w:val="24"/>
          <w:szCs w:val="24"/>
          <w:lang w:val="es-ES"/>
        </w:rPr>
        <w:t>–</w:t>
      </w:r>
      <w:r w:rsidRPr="00AA67B0">
        <w:rPr>
          <w:rFonts w:ascii="Times New Roman" w:eastAsia="Times New Roman" w:hAnsi="Times New Roman" w:cs="Times New Roman"/>
          <w:color w:val="000000" w:themeColor="text1"/>
          <w:sz w:val="24"/>
          <w:szCs w:val="24"/>
          <w:lang w:val="es-ES"/>
        </w:rPr>
        <w:t>506.</w:t>
      </w:r>
      <w:r w:rsidR="00303049" w:rsidRPr="00AA67B0">
        <w:rPr>
          <w:rFonts w:ascii="Times New Roman" w:eastAsia="Times New Roman" w:hAnsi="Times New Roman" w:cs="Times New Roman"/>
          <w:color w:val="000000" w:themeColor="text1"/>
          <w:sz w:val="24"/>
          <w:szCs w:val="24"/>
          <w:lang w:val="es-ES"/>
        </w:rPr>
        <w:t xml:space="preserve"> Recuperado de </w:t>
      </w:r>
      <w:hyperlink r:id="rId29" w:history="1">
        <w:r w:rsidR="00303049" w:rsidRPr="00AA67B0">
          <w:rPr>
            <w:rStyle w:val="Hipervnculo"/>
            <w:rFonts w:ascii="Times New Roman" w:eastAsia="Times New Roman" w:hAnsi="Times New Roman" w:cs="Times New Roman"/>
            <w:color w:val="000000" w:themeColor="text1"/>
            <w:sz w:val="24"/>
            <w:szCs w:val="24"/>
            <w:lang w:val="es-ES"/>
          </w:rPr>
          <w:t>http://rabida.uhu.es/dspace/handle/10272/191</w:t>
        </w:r>
      </w:hyperlink>
      <w:r w:rsidR="00303049" w:rsidRPr="00AA67B0">
        <w:rPr>
          <w:rFonts w:ascii="Times New Roman" w:eastAsia="Times New Roman" w:hAnsi="Times New Roman" w:cs="Times New Roman"/>
          <w:color w:val="000000" w:themeColor="text1"/>
          <w:sz w:val="24"/>
          <w:szCs w:val="24"/>
          <w:lang w:val="es-ES"/>
        </w:rPr>
        <w:t>.</w:t>
      </w:r>
    </w:p>
    <w:p w14:paraId="7D9B7A9C" w14:textId="77777777" w:rsidR="00EB56D6"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lang w:val="es-ES"/>
        </w:rPr>
        <w:t xml:space="preserve">Leiter, M. P., Bakker, A. B., &amp; Maslach, C. (2014). </w:t>
      </w:r>
      <w:r w:rsidRPr="00AA67B0">
        <w:rPr>
          <w:rFonts w:ascii="Times New Roman" w:eastAsia="Times New Roman" w:hAnsi="Times New Roman" w:cs="Times New Roman"/>
          <w:i/>
          <w:color w:val="000000" w:themeColor="text1"/>
          <w:sz w:val="24"/>
          <w:szCs w:val="24"/>
        </w:rPr>
        <w:t>Burnout at work: A Psychological Perspective</w:t>
      </w:r>
      <w:r w:rsidRPr="00AA67B0">
        <w:rPr>
          <w:rFonts w:ascii="Times New Roman" w:eastAsia="Times New Roman" w:hAnsi="Times New Roman" w:cs="Times New Roman"/>
          <w:color w:val="000000" w:themeColor="text1"/>
          <w:sz w:val="24"/>
          <w:szCs w:val="24"/>
        </w:rPr>
        <w:t>. New York: Psychology Press.</w:t>
      </w:r>
    </w:p>
    <w:p w14:paraId="50BB9C9F" w14:textId="5E2088E5" w:rsidR="00EB56D6"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lang w:val="es-ES"/>
        </w:rPr>
        <w:t xml:space="preserve">Lizano, E. L., &amp; Mor Barak, M. (2015). </w:t>
      </w:r>
      <w:r w:rsidRPr="00AA67B0">
        <w:rPr>
          <w:rFonts w:ascii="Times New Roman" w:eastAsia="Times New Roman" w:hAnsi="Times New Roman" w:cs="Times New Roman"/>
          <w:color w:val="000000" w:themeColor="text1"/>
          <w:sz w:val="24"/>
          <w:szCs w:val="24"/>
        </w:rPr>
        <w:t xml:space="preserve">Job burnout and affective wellbeing: A longitudinal study of burnout and job satisfaction among public child welfare workers. </w:t>
      </w:r>
      <w:r w:rsidRPr="00AA67B0">
        <w:rPr>
          <w:rFonts w:ascii="Times New Roman" w:eastAsia="Times New Roman" w:hAnsi="Times New Roman" w:cs="Times New Roman"/>
          <w:i/>
          <w:color w:val="000000" w:themeColor="text1"/>
          <w:sz w:val="24"/>
          <w:szCs w:val="24"/>
        </w:rPr>
        <w:t>Children and Youth Services Review, 55</w:t>
      </w:r>
      <w:r w:rsidRPr="00AA67B0">
        <w:rPr>
          <w:rFonts w:ascii="Times New Roman" w:eastAsia="Times New Roman" w:hAnsi="Times New Roman" w:cs="Times New Roman"/>
          <w:color w:val="000000" w:themeColor="text1"/>
          <w:sz w:val="24"/>
          <w:szCs w:val="24"/>
        </w:rPr>
        <w:t>, 18</w:t>
      </w:r>
      <w:r w:rsidR="00933460"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28. </w:t>
      </w:r>
      <w:hyperlink r:id="rId30">
        <w:r w:rsidRPr="00AA67B0">
          <w:rPr>
            <w:rFonts w:ascii="Times New Roman" w:eastAsia="Times New Roman" w:hAnsi="Times New Roman" w:cs="Times New Roman"/>
            <w:color w:val="000000" w:themeColor="text1"/>
            <w:sz w:val="24"/>
            <w:szCs w:val="24"/>
            <w:u w:val="single"/>
          </w:rPr>
          <w:t>http://dx.doi.org/10.1016/j.childyouth.2015.05.005</w:t>
        </w:r>
      </w:hyperlink>
      <w:r w:rsidRPr="00AA67B0">
        <w:rPr>
          <w:rFonts w:ascii="Times New Roman" w:eastAsia="Times New Roman" w:hAnsi="Times New Roman" w:cs="Times New Roman"/>
          <w:color w:val="000000" w:themeColor="text1"/>
          <w:sz w:val="24"/>
          <w:szCs w:val="24"/>
        </w:rPr>
        <w:t xml:space="preserve">. </w:t>
      </w:r>
    </w:p>
    <w:p w14:paraId="4874539B" w14:textId="5655C8A6" w:rsidR="00EB56D6" w:rsidRPr="00AA67B0" w:rsidRDefault="004D1F5E">
      <w:pPr>
        <w:ind w:left="709" w:hanging="709"/>
        <w:rPr>
          <w:rFonts w:ascii="Times New Roman" w:eastAsia="Times New Roman" w:hAnsi="Times New Roman" w:cs="Times New Roman"/>
          <w:color w:val="000000" w:themeColor="text1"/>
          <w:sz w:val="24"/>
          <w:szCs w:val="24"/>
          <w:lang w:val="es-ES"/>
        </w:rPr>
      </w:pPr>
      <w:r w:rsidRPr="00AA67B0">
        <w:rPr>
          <w:rFonts w:ascii="Times New Roman" w:eastAsia="Times New Roman" w:hAnsi="Times New Roman" w:cs="Times New Roman"/>
          <w:color w:val="000000" w:themeColor="text1"/>
          <w:sz w:val="24"/>
          <w:szCs w:val="24"/>
        </w:rPr>
        <w:t>Lumley T</w:t>
      </w:r>
      <w:r w:rsidR="00933460"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Diehr P</w:t>
      </w:r>
      <w:r w:rsidR="00933460"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Emerson S</w:t>
      </w:r>
      <w:r w:rsidR="00933460"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w:t>
      </w:r>
      <w:r w:rsidR="00933460" w:rsidRPr="00AA67B0">
        <w:rPr>
          <w:rFonts w:ascii="Times New Roman" w:eastAsia="Times New Roman" w:hAnsi="Times New Roman" w:cs="Times New Roman"/>
          <w:color w:val="000000" w:themeColor="text1"/>
          <w:sz w:val="24"/>
          <w:szCs w:val="24"/>
        </w:rPr>
        <w:t xml:space="preserve">&amp; </w:t>
      </w:r>
      <w:r w:rsidRPr="00AA67B0">
        <w:rPr>
          <w:rFonts w:ascii="Times New Roman" w:eastAsia="Times New Roman" w:hAnsi="Times New Roman" w:cs="Times New Roman"/>
          <w:color w:val="000000" w:themeColor="text1"/>
          <w:sz w:val="24"/>
          <w:szCs w:val="24"/>
        </w:rPr>
        <w:t>Chen L</w:t>
      </w:r>
      <w:r w:rsidR="00933460"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(2002)</w:t>
      </w:r>
      <w:r w:rsidR="00933460"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The importance of the normality assumption in large public health data sets. </w:t>
      </w:r>
      <w:r w:rsidRPr="00AA67B0">
        <w:rPr>
          <w:rFonts w:ascii="Times New Roman" w:eastAsia="Times New Roman" w:hAnsi="Times New Roman" w:cs="Times New Roman"/>
          <w:i/>
          <w:color w:val="000000" w:themeColor="text1"/>
          <w:sz w:val="24"/>
          <w:szCs w:val="24"/>
        </w:rPr>
        <w:t>Annu</w:t>
      </w:r>
      <w:r w:rsidR="00933460" w:rsidRPr="00AA67B0">
        <w:rPr>
          <w:rFonts w:ascii="Times New Roman" w:eastAsia="Times New Roman" w:hAnsi="Times New Roman" w:cs="Times New Roman"/>
          <w:i/>
          <w:color w:val="000000" w:themeColor="text1"/>
          <w:sz w:val="24"/>
          <w:szCs w:val="24"/>
        </w:rPr>
        <w:t>al</w:t>
      </w:r>
      <w:r w:rsidRPr="00AA67B0">
        <w:rPr>
          <w:rFonts w:ascii="Times New Roman" w:eastAsia="Times New Roman" w:hAnsi="Times New Roman" w:cs="Times New Roman"/>
          <w:i/>
          <w:color w:val="000000" w:themeColor="text1"/>
          <w:sz w:val="24"/>
          <w:szCs w:val="24"/>
        </w:rPr>
        <w:t xml:space="preserve"> Rev</w:t>
      </w:r>
      <w:r w:rsidR="00933460" w:rsidRPr="00AA67B0">
        <w:rPr>
          <w:rFonts w:ascii="Times New Roman" w:eastAsia="Times New Roman" w:hAnsi="Times New Roman" w:cs="Times New Roman"/>
          <w:i/>
          <w:color w:val="000000" w:themeColor="text1"/>
          <w:sz w:val="24"/>
          <w:szCs w:val="24"/>
        </w:rPr>
        <w:t>iew of</w:t>
      </w:r>
      <w:r w:rsidRPr="00AA67B0">
        <w:rPr>
          <w:rFonts w:ascii="Times New Roman" w:eastAsia="Times New Roman" w:hAnsi="Times New Roman" w:cs="Times New Roman"/>
          <w:i/>
          <w:color w:val="000000" w:themeColor="text1"/>
          <w:sz w:val="24"/>
          <w:szCs w:val="24"/>
        </w:rPr>
        <w:t xml:space="preserve"> Public Health</w:t>
      </w:r>
      <w:r w:rsidR="00933460" w:rsidRPr="00AA67B0">
        <w:rPr>
          <w:rFonts w:ascii="Times New Roman" w:eastAsia="Times New Roman" w:hAnsi="Times New Roman" w:cs="Times New Roman"/>
          <w:i/>
          <w:color w:val="000000" w:themeColor="text1"/>
          <w:sz w:val="24"/>
          <w:szCs w:val="24"/>
        </w:rPr>
        <w:t>,</w:t>
      </w:r>
      <w:r w:rsidRPr="00AA67B0">
        <w:rPr>
          <w:rFonts w:ascii="Times New Roman" w:eastAsia="Times New Roman" w:hAnsi="Times New Roman" w:cs="Times New Roman"/>
          <w:i/>
          <w:color w:val="000000" w:themeColor="text1"/>
          <w:sz w:val="24"/>
          <w:szCs w:val="24"/>
        </w:rPr>
        <w:t xml:space="preserve"> 23</w:t>
      </w:r>
      <w:r w:rsidR="00933460"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151–169.</w:t>
      </w:r>
      <w:r w:rsidR="00303049" w:rsidRPr="00AA67B0">
        <w:rPr>
          <w:rFonts w:ascii="Times New Roman" w:eastAsia="Times New Roman" w:hAnsi="Times New Roman" w:cs="Times New Roman"/>
          <w:color w:val="000000" w:themeColor="text1"/>
          <w:sz w:val="24"/>
          <w:szCs w:val="24"/>
        </w:rPr>
        <w:t xml:space="preserve"> </w:t>
      </w:r>
      <w:hyperlink r:id="rId31" w:history="1">
        <w:r w:rsidR="00303049" w:rsidRPr="00AA67B0">
          <w:rPr>
            <w:rStyle w:val="Hipervnculo"/>
            <w:rFonts w:ascii="Times New Roman" w:eastAsia="Times New Roman" w:hAnsi="Times New Roman" w:cs="Times New Roman"/>
            <w:color w:val="000000" w:themeColor="text1"/>
            <w:sz w:val="24"/>
            <w:szCs w:val="24"/>
            <w:lang w:val="es-ES"/>
          </w:rPr>
          <w:t>https://doi.org/10.1146/annurev.publhealth.23.100901.140546</w:t>
        </w:r>
      </w:hyperlink>
      <w:r w:rsidR="00303049" w:rsidRPr="00AA67B0">
        <w:rPr>
          <w:rFonts w:ascii="Times New Roman" w:eastAsia="Times New Roman" w:hAnsi="Times New Roman" w:cs="Times New Roman"/>
          <w:color w:val="000000" w:themeColor="text1"/>
          <w:sz w:val="24"/>
          <w:szCs w:val="24"/>
          <w:lang w:val="es-ES"/>
        </w:rPr>
        <w:t>.</w:t>
      </w:r>
    </w:p>
    <w:p w14:paraId="31B844F7" w14:textId="1E0672E7" w:rsidR="00EB56D6" w:rsidRPr="00AA67B0" w:rsidRDefault="004D1F5E">
      <w:pPr>
        <w:ind w:left="709" w:hanging="709"/>
        <w:rPr>
          <w:rFonts w:ascii="Times New Roman" w:eastAsia="Times New Roman" w:hAnsi="Times New Roman" w:cs="Times New Roman"/>
          <w:color w:val="000000" w:themeColor="text1"/>
          <w:sz w:val="24"/>
          <w:szCs w:val="24"/>
          <w:lang w:val="es-ES"/>
        </w:rPr>
      </w:pPr>
      <w:r w:rsidRPr="00AA67B0">
        <w:rPr>
          <w:rFonts w:ascii="Times New Roman" w:eastAsia="Times New Roman" w:hAnsi="Times New Roman" w:cs="Times New Roman"/>
          <w:color w:val="000000" w:themeColor="text1"/>
          <w:sz w:val="24"/>
          <w:szCs w:val="24"/>
          <w:lang w:val="es-ES"/>
        </w:rPr>
        <w:t>Manassero, M.</w:t>
      </w:r>
      <w:r w:rsidR="00933460" w:rsidRPr="00AA67B0">
        <w:rPr>
          <w:rFonts w:ascii="Times New Roman" w:eastAsia="Times New Roman" w:hAnsi="Times New Roman" w:cs="Times New Roman"/>
          <w:color w:val="000000" w:themeColor="text1"/>
          <w:sz w:val="24"/>
          <w:szCs w:val="24"/>
          <w:lang w:val="es-ES"/>
        </w:rPr>
        <w:t xml:space="preserve"> </w:t>
      </w:r>
      <w:r w:rsidRPr="00AA67B0">
        <w:rPr>
          <w:rFonts w:ascii="Times New Roman" w:eastAsia="Times New Roman" w:hAnsi="Times New Roman" w:cs="Times New Roman"/>
          <w:color w:val="000000" w:themeColor="text1"/>
          <w:sz w:val="24"/>
          <w:szCs w:val="24"/>
          <w:lang w:val="es-ES"/>
        </w:rPr>
        <w:t>A., Vázquez, A., Ferrer, M. V., Fornes, J.</w:t>
      </w:r>
      <w:r w:rsidR="00933460" w:rsidRPr="00AA67B0">
        <w:rPr>
          <w:rFonts w:ascii="Times New Roman" w:eastAsia="Times New Roman" w:hAnsi="Times New Roman" w:cs="Times New Roman"/>
          <w:color w:val="000000" w:themeColor="text1"/>
          <w:sz w:val="24"/>
          <w:szCs w:val="24"/>
          <w:lang w:val="es-ES"/>
        </w:rPr>
        <w:t>,</w:t>
      </w:r>
      <w:r w:rsidRPr="00AA67B0">
        <w:rPr>
          <w:rFonts w:ascii="Times New Roman" w:eastAsia="Times New Roman" w:hAnsi="Times New Roman" w:cs="Times New Roman"/>
          <w:color w:val="000000" w:themeColor="text1"/>
          <w:sz w:val="24"/>
          <w:szCs w:val="24"/>
          <w:lang w:val="es-ES"/>
        </w:rPr>
        <w:t xml:space="preserve"> &amp; Fernández, M.</w:t>
      </w:r>
      <w:r w:rsidR="00933460" w:rsidRPr="00AA67B0">
        <w:rPr>
          <w:rFonts w:ascii="Times New Roman" w:eastAsia="Times New Roman" w:hAnsi="Times New Roman" w:cs="Times New Roman"/>
          <w:color w:val="000000" w:themeColor="text1"/>
          <w:sz w:val="24"/>
          <w:szCs w:val="24"/>
          <w:lang w:val="es-ES"/>
        </w:rPr>
        <w:t xml:space="preserve"> </w:t>
      </w:r>
      <w:r w:rsidRPr="00AA67B0">
        <w:rPr>
          <w:rFonts w:ascii="Times New Roman" w:eastAsia="Times New Roman" w:hAnsi="Times New Roman" w:cs="Times New Roman"/>
          <w:color w:val="000000" w:themeColor="text1"/>
          <w:sz w:val="24"/>
          <w:szCs w:val="24"/>
          <w:lang w:val="es-ES"/>
        </w:rPr>
        <w:t xml:space="preserve">C. (1994). </w:t>
      </w:r>
      <w:r w:rsidRPr="00AA67B0">
        <w:rPr>
          <w:rFonts w:ascii="Times New Roman" w:eastAsia="Times New Roman" w:hAnsi="Times New Roman" w:cs="Times New Roman"/>
          <w:i/>
          <w:color w:val="000000" w:themeColor="text1"/>
          <w:sz w:val="24"/>
          <w:szCs w:val="24"/>
          <w:lang w:val="es-ES"/>
        </w:rPr>
        <w:t>Burnout en profesores: impacto sobre la calidad de la educación, la salud y consecuencias para el desarrollo profesional</w:t>
      </w:r>
      <w:r w:rsidRPr="00AA67B0">
        <w:rPr>
          <w:rFonts w:ascii="Times New Roman" w:eastAsia="Times New Roman" w:hAnsi="Times New Roman" w:cs="Times New Roman"/>
          <w:color w:val="000000" w:themeColor="text1"/>
          <w:sz w:val="24"/>
          <w:szCs w:val="24"/>
          <w:lang w:val="es-ES"/>
        </w:rPr>
        <w:t>. Memoria final de investigación. Madrid</w:t>
      </w:r>
      <w:r w:rsidR="00933460" w:rsidRPr="00AA67B0">
        <w:rPr>
          <w:rFonts w:ascii="Times New Roman" w:eastAsia="Times New Roman" w:hAnsi="Times New Roman" w:cs="Times New Roman"/>
          <w:color w:val="000000" w:themeColor="text1"/>
          <w:sz w:val="24"/>
          <w:szCs w:val="24"/>
          <w:lang w:val="es-ES"/>
        </w:rPr>
        <w:t>:</w:t>
      </w:r>
      <w:r w:rsidRPr="00AA67B0">
        <w:rPr>
          <w:rFonts w:ascii="Times New Roman" w:eastAsia="Times New Roman" w:hAnsi="Times New Roman" w:cs="Times New Roman"/>
          <w:color w:val="000000" w:themeColor="text1"/>
          <w:sz w:val="24"/>
          <w:szCs w:val="24"/>
          <w:lang w:val="es-ES"/>
        </w:rPr>
        <w:t xml:space="preserve"> MEC-CIDE.</w:t>
      </w:r>
    </w:p>
    <w:p w14:paraId="65A119A5" w14:textId="0571875B" w:rsidR="00AE7C1F" w:rsidRPr="00AA67B0" w:rsidRDefault="00AE7C1F" w:rsidP="00AE7C1F">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lang w:val="en-US"/>
        </w:rPr>
        <w:t xml:space="preserve">Maslach, C., &amp; Goldberg, J. (1998). </w:t>
      </w:r>
      <w:r w:rsidRPr="00AA67B0">
        <w:rPr>
          <w:rFonts w:ascii="Times New Roman" w:eastAsia="Times New Roman" w:hAnsi="Times New Roman" w:cs="Times New Roman"/>
          <w:color w:val="000000" w:themeColor="text1"/>
          <w:sz w:val="24"/>
          <w:szCs w:val="24"/>
        </w:rPr>
        <w:t xml:space="preserve">Prevention of burnout: New perspectives. </w:t>
      </w:r>
      <w:r w:rsidRPr="00AA67B0">
        <w:rPr>
          <w:rFonts w:ascii="Times New Roman" w:eastAsia="Times New Roman" w:hAnsi="Times New Roman" w:cs="Times New Roman"/>
          <w:i/>
          <w:color w:val="000000" w:themeColor="text1"/>
          <w:sz w:val="24"/>
          <w:szCs w:val="24"/>
        </w:rPr>
        <w:t>Applied and</w:t>
      </w:r>
      <w:r w:rsidRPr="00AA67B0">
        <w:rPr>
          <w:rFonts w:ascii="Times New Roman" w:eastAsia="Times New Roman" w:hAnsi="Times New Roman" w:cs="Times New Roman"/>
          <w:color w:val="000000" w:themeColor="text1"/>
          <w:sz w:val="24"/>
          <w:szCs w:val="24"/>
        </w:rPr>
        <w:t xml:space="preserve"> </w:t>
      </w:r>
      <w:r w:rsidRPr="00AA67B0">
        <w:rPr>
          <w:rFonts w:ascii="Times New Roman" w:eastAsia="Times New Roman" w:hAnsi="Times New Roman" w:cs="Times New Roman"/>
          <w:i/>
          <w:color w:val="000000" w:themeColor="text1"/>
          <w:sz w:val="24"/>
          <w:szCs w:val="24"/>
        </w:rPr>
        <w:t>Preventive Psychology, 7</w:t>
      </w:r>
      <w:r w:rsidRPr="00AA67B0">
        <w:rPr>
          <w:rFonts w:ascii="Times New Roman" w:eastAsia="Times New Roman" w:hAnsi="Times New Roman" w:cs="Times New Roman"/>
          <w:color w:val="000000" w:themeColor="text1"/>
          <w:sz w:val="24"/>
          <w:szCs w:val="24"/>
        </w:rPr>
        <w:t xml:space="preserve">(1), 63–74. </w:t>
      </w:r>
      <w:hyperlink r:id="rId32" w:history="1">
        <w:r w:rsidR="00522278" w:rsidRPr="00AA67B0">
          <w:rPr>
            <w:rStyle w:val="Hipervnculo"/>
            <w:rFonts w:ascii="Times New Roman" w:eastAsia="Times New Roman" w:hAnsi="Times New Roman" w:cs="Times New Roman"/>
            <w:color w:val="000000" w:themeColor="text1"/>
            <w:sz w:val="24"/>
            <w:szCs w:val="24"/>
          </w:rPr>
          <w:t>http://dx.doi.org/10.1016/S0962-1849(98)80022-X</w:t>
        </w:r>
      </w:hyperlink>
      <w:r w:rsidR="00522278" w:rsidRPr="00AA67B0">
        <w:rPr>
          <w:rFonts w:ascii="Times New Roman" w:eastAsia="Times New Roman" w:hAnsi="Times New Roman" w:cs="Times New Roman"/>
          <w:color w:val="000000" w:themeColor="text1"/>
          <w:sz w:val="24"/>
          <w:szCs w:val="24"/>
        </w:rPr>
        <w:t>.</w:t>
      </w:r>
    </w:p>
    <w:p w14:paraId="2A0EBA44" w14:textId="77777777" w:rsidR="00AE7C1F" w:rsidRPr="00AA67B0" w:rsidRDefault="00AE7C1F" w:rsidP="00AE7C1F">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Maslach, C., &amp; Jackson, S. E. (1981). The measurement of experienced burnout. Journal of Organizational Behavior, 2(2), 99–113. </w:t>
      </w:r>
      <w:hyperlink r:id="rId33">
        <w:r w:rsidRPr="00AA67B0">
          <w:rPr>
            <w:rFonts w:ascii="Times New Roman" w:eastAsia="Times New Roman" w:hAnsi="Times New Roman" w:cs="Times New Roman"/>
            <w:color w:val="000000" w:themeColor="text1"/>
            <w:sz w:val="24"/>
            <w:szCs w:val="24"/>
            <w:u w:val="single"/>
          </w:rPr>
          <w:t>https://doi.org/10.1002/job.4030020205</w:t>
        </w:r>
      </w:hyperlink>
      <w:r w:rsidRPr="00AA67B0">
        <w:rPr>
          <w:rFonts w:ascii="Times New Roman" w:eastAsia="Times New Roman" w:hAnsi="Times New Roman" w:cs="Times New Roman"/>
          <w:color w:val="000000" w:themeColor="text1"/>
          <w:sz w:val="24"/>
          <w:szCs w:val="24"/>
        </w:rPr>
        <w:t>.</w:t>
      </w:r>
    </w:p>
    <w:p w14:paraId="053A818A" w14:textId="7BC45E33" w:rsidR="00EB56D6"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Maslach, C.</w:t>
      </w:r>
      <w:r w:rsidR="00AE7C1F"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&amp; Jackson, S.</w:t>
      </w:r>
      <w:r w:rsidR="00933460" w:rsidRPr="00AA67B0">
        <w:rPr>
          <w:rFonts w:ascii="Times New Roman" w:eastAsia="Times New Roman" w:hAnsi="Times New Roman" w:cs="Times New Roman"/>
          <w:color w:val="000000" w:themeColor="text1"/>
          <w:sz w:val="24"/>
          <w:szCs w:val="24"/>
        </w:rPr>
        <w:t xml:space="preserve"> </w:t>
      </w:r>
      <w:r w:rsidRPr="00AA67B0">
        <w:rPr>
          <w:rFonts w:ascii="Times New Roman" w:eastAsia="Times New Roman" w:hAnsi="Times New Roman" w:cs="Times New Roman"/>
          <w:color w:val="000000" w:themeColor="text1"/>
          <w:sz w:val="24"/>
          <w:szCs w:val="24"/>
        </w:rPr>
        <w:t>E. (1982)</w:t>
      </w:r>
      <w:r w:rsidR="00933460"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Burnout in health professions: </w:t>
      </w:r>
      <w:r w:rsidR="00933460" w:rsidRPr="00AA67B0">
        <w:rPr>
          <w:rFonts w:ascii="Times New Roman" w:eastAsia="Times New Roman" w:hAnsi="Times New Roman" w:cs="Times New Roman"/>
          <w:color w:val="000000" w:themeColor="text1"/>
          <w:sz w:val="24"/>
          <w:szCs w:val="24"/>
        </w:rPr>
        <w:t>A</w:t>
      </w:r>
      <w:r w:rsidRPr="00AA67B0">
        <w:rPr>
          <w:rFonts w:ascii="Times New Roman" w:eastAsia="Times New Roman" w:hAnsi="Times New Roman" w:cs="Times New Roman"/>
          <w:color w:val="000000" w:themeColor="text1"/>
          <w:sz w:val="24"/>
          <w:szCs w:val="24"/>
        </w:rPr>
        <w:t xml:space="preserve"> social psychological analysis</w:t>
      </w:r>
      <w:r w:rsidR="00933460" w:rsidRPr="00AA67B0">
        <w:rPr>
          <w:rFonts w:ascii="Times New Roman" w:eastAsia="Times New Roman" w:hAnsi="Times New Roman" w:cs="Times New Roman"/>
          <w:color w:val="000000" w:themeColor="text1"/>
          <w:sz w:val="24"/>
          <w:szCs w:val="24"/>
        </w:rPr>
        <w:t>. I</w:t>
      </w:r>
      <w:r w:rsidRPr="00AA67B0">
        <w:rPr>
          <w:rFonts w:ascii="Times New Roman" w:eastAsia="Times New Roman" w:hAnsi="Times New Roman" w:cs="Times New Roman"/>
          <w:color w:val="000000" w:themeColor="text1"/>
          <w:sz w:val="24"/>
          <w:szCs w:val="24"/>
        </w:rPr>
        <w:t xml:space="preserve">n G. Sanders </w:t>
      </w:r>
      <w:r w:rsidR="00933460" w:rsidRPr="00AA67B0">
        <w:rPr>
          <w:rFonts w:ascii="Times New Roman" w:eastAsia="Times New Roman" w:hAnsi="Times New Roman" w:cs="Times New Roman"/>
          <w:color w:val="000000" w:themeColor="text1"/>
          <w:sz w:val="24"/>
          <w:szCs w:val="24"/>
        </w:rPr>
        <w:t xml:space="preserve">and </w:t>
      </w:r>
      <w:r w:rsidRPr="00AA67B0">
        <w:rPr>
          <w:rFonts w:ascii="Times New Roman" w:eastAsia="Times New Roman" w:hAnsi="Times New Roman" w:cs="Times New Roman"/>
          <w:color w:val="000000" w:themeColor="text1"/>
          <w:sz w:val="24"/>
          <w:szCs w:val="24"/>
        </w:rPr>
        <w:t>J. Suls (Eds</w:t>
      </w:r>
      <w:r w:rsidR="00933460"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w:t>
      </w:r>
      <w:r w:rsidR="00933460"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w:t>
      </w:r>
      <w:r w:rsidRPr="00AA67B0">
        <w:rPr>
          <w:rFonts w:ascii="Times New Roman" w:eastAsia="Times New Roman" w:hAnsi="Times New Roman" w:cs="Times New Roman"/>
          <w:i/>
          <w:color w:val="000000" w:themeColor="text1"/>
          <w:sz w:val="24"/>
          <w:szCs w:val="24"/>
        </w:rPr>
        <w:t>Social psychology of health and illness</w:t>
      </w:r>
      <w:r w:rsidRPr="00AA67B0">
        <w:rPr>
          <w:rFonts w:ascii="Times New Roman" w:eastAsia="Times New Roman" w:hAnsi="Times New Roman" w:cs="Times New Roman"/>
          <w:color w:val="000000" w:themeColor="text1"/>
          <w:sz w:val="24"/>
          <w:szCs w:val="24"/>
        </w:rPr>
        <w:t xml:space="preserve"> Hillsdale,</w:t>
      </w:r>
      <w:r w:rsidR="00FA276F" w:rsidRPr="00AA67B0">
        <w:rPr>
          <w:rFonts w:ascii="Times New Roman" w:eastAsia="Times New Roman" w:hAnsi="Times New Roman" w:cs="Times New Roman"/>
          <w:color w:val="000000" w:themeColor="text1"/>
          <w:sz w:val="24"/>
          <w:szCs w:val="24"/>
        </w:rPr>
        <w:t xml:space="preserve"> </w:t>
      </w:r>
      <w:r w:rsidRPr="00AA67B0">
        <w:rPr>
          <w:rFonts w:ascii="Times New Roman" w:eastAsia="Times New Roman" w:hAnsi="Times New Roman" w:cs="Times New Roman"/>
          <w:color w:val="000000" w:themeColor="text1"/>
          <w:sz w:val="24"/>
          <w:szCs w:val="24"/>
        </w:rPr>
        <w:t xml:space="preserve">N.J: Erlbaum. </w:t>
      </w:r>
    </w:p>
    <w:p w14:paraId="34CBE5D6" w14:textId="77777777" w:rsidR="00C038E4" w:rsidRPr="00AA67B0" w:rsidRDefault="004D1F5E">
      <w:pPr>
        <w:ind w:left="709" w:hanging="709"/>
        <w:rPr>
          <w:color w:val="000000" w:themeColor="text1"/>
        </w:rPr>
      </w:pPr>
      <w:r w:rsidRPr="00AA67B0">
        <w:rPr>
          <w:rFonts w:ascii="Times New Roman" w:eastAsia="Times New Roman" w:hAnsi="Times New Roman" w:cs="Times New Roman"/>
          <w:color w:val="000000" w:themeColor="text1"/>
          <w:sz w:val="24"/>
          <w:szCs w:val="24"/>
        </w:rPr>
        <w:t xml:space="preserve">Maslach, C., &amp; Jackson, S. E. (1985). The role of sex and family variables in burnout. </w:t>
      </w:r>
      <w:r w:rsidRPr="00AA67B0">
        <w:rPr>
          <w:rFonts w:ascii="Times New Roman" w:eastAsia="Times New Roman" w:hAnsi="Times New Roman" w:cs="Times New Roman"/>
          <w:i/>
          <w:color w:val="000000" w:themeColor="text1"/>
          <w:sz w:val="24"/>
          <w:szCs w:val="24"/>
        </w:rPr>
        <w:t>Sex Roles, 12</w:t>
      </w:r>
      <w:r w:rsidRPr="00AA67B0">
        <w:rPr>
          <w:rFonts w:ascii="Times New Roman" w:eastAsia="Times New Roman" w:hAnsi="Times New Roman" w:cs="Times New Roman"/>
          <w:color w:val="000000" w:themeColor="text1"/>
          <w:sz w:val="24"/>
          <w:szCs w:val="24"/>
        </w:rPr>
        <w:t xml:space="preserve">(7–8), 837–851. </w:t>
      </w:r>
      <w:hyperlink r:id="rId34">
        <w:r w:rsidRPr="00AA67B0">
          <w:rPr>
            <w:rFonts w:ascii="Times New Roman" w:eastAsia="Times New Roman" w:hAnsi="Times New Roman" w:cs="Times New Roman"/>
            <w:color w:val="000000" w:themeColor="text1"/>
            <w:sz w:val="24"/>
            <w:szCs w:val="24"/>
            <w:u w:val="single"/>
          </w:rPr>
          <w:t>https://doi.org/10.1007/BF00287876</w:t>
        </w:r>
      </w:hyperlink>
      <w:r w:rsidRPr="00AA67B0">
        <w:rPr>
          <w:rFonts w:ascii="Times New Roman" w:eastAsia="Times New Roman" w:hAnsi="Times New Roman" w:cs="Times New Roman"/>
          <w:color w:val="000000" w:themeColor="text1"/>
          <w:sz w:val="24"/>
          <w:szCs w:val="24"/>
        </w:rPr>
        <w:t>.</w:t>
      </w:r>
      <w:r w:rsidR="00C038E4" w:rsidRPr="00AA67B0">
        <w:rPr>
          <w:color w:val="000000" w:themeColor="text1"/>
        </w:rPr>
        <w:t xml:space="preserve"> </w:t>
      </w:r>
    </w:p>
    <w:p w14:paraId="4397180F" w14:textId="0D3D1983" w:rsidR="00EB56D6" w:rsidRPr="00AA67B0" w:rsidRDefault="00C038E4">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Maslach, C., &amp; Jackson, S. E. (1986).</w:t>
      </w:r>
      <w:r w:rsidRPr="00AA67B0">
        <w:rPr>
          <w:rFonts w:ascii="Times New Roman" w:eastAsia="Times New Roman" w:hAnsi="Times New Roman" w:cs="Times New Roman"/>
          <w:i/>
          <w:color w:val="000000" w:themeColor="text1"/>
          <w:sz w:val="24"/>
          <w:szCs w:val="24"/>
        </w:rPr>
        <w:t xml:space="preserve"> Maslach Burnout Inventory: Manual</w:t>
      </w:r>
      <w:r w:rsidRPr="00AA67B0">
        <w:rPr>
          <w:rFonts w:ascii="Times New Roman" w:eastAsia="Times New Roman" w:hAnsi="Times New Roman" w:cs="Times New Roman"/>
          <w:color w:val="000000" w:themeColor="text1"/>
          <w:sz w:val="24"/>
          <w:szCs w:val="24"/>
        </w:rPr>
        <w:t xml:space="preserve"> (2nd ed.). Palo Alto, CA: Consulting Psychologists Press.</w:t>
      </w:r>
    </w:p>
    <w:p w14:paraId="1682DC15" w14:textId="77777777" w:rsidR="00EB56D6"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McFadden, P., Campbell, A., &amp; Taylor, B. (2015). Resilience and burnout in child protection social work: Individual and organisational themes from a systemic literature review. </w:t>
      </w:r>
      <w:r w:rsidRPr="00AA67B0">
        <w:rPr>
          <w:rFonts w:ascii="Times New Roman" w:eastAsia="Times New Roman" w:hAnsi="Times New Roman" w:cs="Times New Roman"/>
          <w:i/>
          <w:color w:val="000000" w:themeColor="text1"/>
          <w:sz w:val="24"/>
          <w:szCs w:val="24"/>
        </w:rPr>
        <w:t>British Journal of Social Work, 45</w:t>
      </w:r>
      <w:r w:rsidRPr="00AA67B0">
        <w:rPr>
          <w:rFonts w:ascii="Times New Roman" w:eastAsia="Times New Roman" w:hAnsi="Times New Roman" w:cs="Times New Roman"/>
          <w:color w:val="000000" w:themeColor="text1"/>
          <w:sz w:val="24"/>
          <w:szCs w:val="24"/>
        </w:rPr>
        <w:t xml:space="preserve">(November 2013), 1546–1563. </w:t>
      </w:r>
      <w:hyperlink r:id="rId35">
        <w:r w:rsidRPr="00AA67B0">
          <w:rPr>
            <w:rFonts w:ascii="Times New Roman" w:eastAsia="Times New Roman" w:hAnsi="Times New Roman" w:cs="Times New Roman"/>
            <w:color w:val="000000" w:themeColor="text1"/>
            <w:sz w:val="24"/>
            <w:szCs w:val="24"/>
            <w:u w:val="single"/>
          </w:rPr>
          <w:t>https://doi.org/10.1093/bjsw/bct210</w:t>
        </w:r>
      </w:hyperlink>
      <w:r w:rsidRPr="00AA67B0">
        <w:rPr>
          <w:rFonts w:ascii="Times New Roman" w:eastAsia="Times New Roman" w:hAnsi="Times New Roman" w:cs="Times New Roman"/>
          <w:color w:val="000000" w:themeColor="text1"/>
          <w:sz w:val="24"/>
          <w:szCs w:val="24"/>
        </w:rPr>
        <w:t>.</w:t>
      </w:r>
    </w:p>
    <w:p w14:paraId="4D283F3E" w14:textId="097A04FE" w:rsidR="00EB56D6"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lastRenderedPageBreak/>
        <w:t xml:space="preserve">Mor, V., &amp; Laliberte, L. (1984). Burnout </w:t>
      </w:r>
      <w:r w:rsidR="0052738E" w:rsidRPr="00AA67B0">
        <w:rPr>
          <w:rFonts w:ascii="Times New Roman" w:eastAsia="Times New Roman" w:hAnsi="Times New Roman" w:cs="Times New Roman"/>
          <w:color w:val="000000" w:themeColor="text1"/>
          <w:sz w:val="24"/>
          <w:szCs w:val="24"/>
        </w:rPr>
        <w:t>among hospice staff</w:t>
      </w:r>
      <w:r w:rsidRPr="00AA67B0">
        <w:rPr>
          <w:rFonts w:ascii="Times New Roman" w:eastAsia="Times New Roman" w:hAnsi="Times New Roman" w:cs="Times New Roman"/>
          <w:color w:val="000000" w:themeColor="text1"/>
          <w:sz w:val="24"/>
          <w:szCs w:val="24"/>
        </w:rPr>
        <w:t xml:space="preserve">. </w:t>
      </w:r>
      <w:r w:rsidRPr="00AA67B0">
        <w:rPr>
          <w:rFonts w:ascii="Times New Roman" w:eastAsia="Times New Roman" w:hAnsi="Times New Roman" w:cs="Times New Roman"/>
          <w:i/>
          <w:color w:val="000000" w:themeColor="text1"/>
          <w:sz w:val="24"/>
          <w:szCs w:val="24"/>
        </w:rPr>
        <w:t>Health &amp; Social Work, 9</w:t>
      </w:r>
      <w:r w:rsidRPr="00AA67B0">
        <w:rPr>
          <w:rFonts w:ascii="Times New Roman" w:eastAsia="Times New Roman" w:hAnsi="Times New Roman" w:cs="Times New Roman"/>
          <w:color w:val="000000" w:themeColor="text1"/>
          <w:sz w:val="24"/>
          <w:szCs w:val="24"/>
        </w:rPr>
        <w:t xml:space="preserve">(4), 274–283. Retrieved from </w:t>
      </w:r>
      <w:hyperlink r:id="rId36">
        <w:r w:rsidRPr="00AA67B0">
          <w:rPr>
            <w:rFonts w:ascii="Times New Roman" w:eastAsia="Times New Roman" w:hAnsi="Times New Roman" w:cs="Times New Roman"/>
            <w:color w:val="000000" w:themeColor="text1"/>
            <w:sz w:val="24"/>
            <w:szCs w:val="24"/>
            <w:u w:val="single"/>
          </w:rPr>
          <w:t>http://dx.doi.org/10.1093/hsw/9.4.274</w:t>
        </w:r>
      </w:hyperlink>
      <w:r w:rsidRPr="00AA67B0">
        <w:rPr>
          <w:rFonts w:ascii="Times New Roman" w:eastAsia="Times New Roman" w:hAnsi="Times New Roman" w:cs="Times New Roman"/>
          <w:color w:val="000000" w:themeColor="text1"/>
          <w:sz w:val="24"/>
          <w:szCs w:val="24"/>
        </w:rPr>
        <w:t xml:space="preserve">. </w:t>
      </w:r>
    </w:p>
    <w:p w14:paraId="1C0F1740" w14:textId="6A123D68" w:rsidR="00EB56D6"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Morse, G., Salyers, M. P., Rollins, A. L., Monroe-Devita, M., &amp; Pfahler, C. (201</w:t>
      </w:r>
      <w:r w:rsidR="0045012C" w:rsidRPr="00AA67B0">
        <w:rPr>
          <w:rFonts w:ascii="Times New Roman" w:eastAsia="Times New Roman" w:hAnsi="Times New Roman" w:cs="Times New Roman"/>
          <w:color w:val="000000" w:themeColor="text1"/>
          <w:sz w:val="24"/>
          <w:szCs w:val="24"/>
        </w:rPr>
        <w:t>2</w:t>
      </w:r>
      <w:r w:rsidRPr="00AA67B0">
        <w:rPr>
          <w:rFonts w:ascii="Times New Roman" w:eastAsia="Times New Roman" w:hAnsi="Times New Roman" w:cs="Times New Roman"/>
          <w:color w:val="000000" w:themeColor="text1"/>
          <w:sz w:val="24"/>
          <w:szCs w:val="24"/>
        </w:rPr>
        <w:t xml:space="preserve">). Burnout in mental health services: A review of the problem and its remediation. </w:t>
      </w:r>
      <w:r w:rsidRPr="00AA67B0">
        <w:rPr>
          <w:rFonts w:ascii="Times New Roman" w:eastAsia="Times New Roman" w:hAnsi="Times New Roman" w:cs="Times New Roman"/>
          <w:i/>
          <w:color w:val="000000" w:themeColor="text1"/>
          <w:sz w:val="24"/>
          <w:szCs w:val="24"/>
        </w:rPr>
        <w:t>Administration and Policy in Mental Health and Mental Health Services Research, 39</w:t>
      </w:r>
      <w:r w:rsidRPr="00AA67B0">
        <w:rPr>
          <w:rFonts w:ascii="Times New Roman" w:eastAsia="Times New Roman" w:hAnsi="Times New Roman" w:cs="Times New Roman"/>
          <w:color w:val="000000" w:themeColor="text1"/>
          <w:sz w:val="24"/>
          <w:szCs w:val="24"/>
        </w:rPr>
        <w:t>(5), 341</w:t>
      </w:r>
      <w:r w:rsidR="0052738E"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352.</w:t>
      </w:r>
      <w:r w:rsidR="00522278" w:rsidRPr="00AA67B0">
        <w:rPr>
          <w:rFonts w:ascii="Times New Roman" w:eastAsia="Times New Roman" w:hAnsi="Times New Roman" w:cs="Times New Roman"/>
          <w:color w:val="000000" w:themeColor="text1"/>
          <w:sz w:val="24"/>
          <w:szCs w:val="24"/>
        </w:rPr>
        <w:t xml:space="preserve"> </w:t>
      </w:r>
      <w:hyperlink r:id="rId37" w:history="1">
        <w:r w:rsidR="00522278" w:rsidRPr="00AA67B0">
          <w:rPr>
            <w:rStyle w:val="Hipervnculo"/>
            <w:rFonts w:ascii="Times New Roman" w:eastAsia="Times New Roman" w:hAnsi="Times New Roman" w:cs="Times New Roman"/>
            <w:color w:val="000000" w:themeColor="text1"/>
            <w:sz w:val="24"/>
            <w:szCs w:val="24"/>
          </w:rPr>
          <w:t>https://doi.org/341–352.10.1007/s10488-011-0352-1</w:t>
        </w:r>
      </w:hyperlink>
      <w:r w:rsidR="00522278" w:rsidRPr="00AA67B0">
        <w:rPr>
          <w:rFonts w:ascii="Times New Roman" w:eastAsia="Times New Roman" w:hAnsi="Times New Roman" w:cs="Times New Roman"/>
          <w:color w:val="000000" w:themeColor="text1"/>
          <w:sz w:val="24"/>
          <w:szCs w:val="24"/>
        </w:rPr>
        <w:t>.</w:t>
      </w:r>
    </w:p>
    <w:p w14:paraId="09FBB10B" w14:textId="77777777" w:rsidR="00EB56D6" w:rsidRPr="00AA67B0" w:rsidRDefault="004D1F5E">
      <w:pPr>
        <w:ind w:left="709" w:hanging="709"/>
        <w:rPr>
          <w:rFonts w:ascii="Times New Roman" w:eastAsia="Times New Roman" w:hAnsi="Times New Roman" w:cs="Times New Roman"/>
          <w:color w:val="000000" w:themeColor="text1"/>
          <w:sz w:val="24"/>
          <w:szCs w:val="24"/>
          <w:lang w:val="es-ES"/>
        </w:rPr>
      </w:pPr>
      <w:r w:rsidRPr="00AA67B0">
        <w:rPr>
          <w:rFonts w:ascii="Times New Roman" w:eastAsia="Times New Roman" w:hAnsi="Times New Roman" w:cs="Times New Roman"/>
          <w:color w:val="000000" w:themeColor="text1"/>
          <w:sz w:val="24"/>
          <w:szCs w:val="24"/>
          <w:lang w:val="es-ES"/>
        </w:rPr>
        <w:t xml:space="preserve">Oliver, C., Pastor, J. C., Aragoneses, A., &amp; Moreno, B. (1990). </w:t>
      </w:r>
      <w:r w:rsidRPr="00AA67B0">
        <w:rPr>
          <w:rFonts w:ascii="Times New Roman" w:eastAsia="Times New Roman" w:hAnsi="Times New Roman" w:cs="Times New Roman"/>
          <w:i/>
          <w:color w:val="000000" w:themeColor="text1"/>
          <w:sz w:val="24"/>
          <w:szCs w:val="24"/>
          <w:lang w:val="es-ES"/>
        </w:rPr>
        <w:t>Una teoría y una medida de estrés laboral asistencial</w:t>
      </w:r>
      <w:r w:rsidRPr="00AA67B0">
        <w:rPr>
          <w:rFonts w:ascii="Times New Roman" w:eastAsia="Times New Roman" w:hAnsi="Times New Roman" w:cs="Times New Roman"/>
          <w:color w:val="000000" w:themeColor="text1"/>
          <w:sz w:val="24"/>
          <w:szCs w:val="24"/>
          <w:lang w:val="es-ES"/>
        </w:rPr>
        <w:t>. Comunicación presentada al II Congreso del colegio Oficial de Psicólogos. Valencia España.</w:t>
      </w:r>
    </w:p>
    <w:p w14:paraId="17C3AEB7" w14:textId="69C79629" w:rsidR="00EB56D6" w:rsidRPr="00AA67B0" w:rsidRDefault="004D1F5E">
      <w:pPr>
        <w:ind w:left="709" w:hanging="709"/>
        <w:rPr>
          <w:rFonts w:ascii="Times New Roman" w:eastAsia="Times New Roman" w:hAnsi="Times New Roman" w:cs="Times New Roman"/>
          <w:color w:val="000000" w:themeColor="text1"/>
          <w:sz w:val="24"/>
          <w:szCs w:val="24"/>
          <w:lang w:val="es-ES"/>
        </w:rPr>
      </w:pPr>
      <w:r w:rsidRPr="00AA67B0">
        <w:rPr>
          <w:rFonts w:ascii="Times New Roman" w:eastAsia="Times New Roman" w:hAnsi="Times New Roman" w:cs="Times New Roman"/>
          <w:color w:val="000000" w:themeColor="text1"/>
          <w:sz w:val="24"/>
          <w:szCs w:val="24"/>
          <w:lang w:val="es-ES"/>
        </w:rPr>
        <w:t>Peiró, J. M. (1992)</w:t>
      </w:r>
      <w:r w:rsidR="0052738E" w:rsidRPr="00AA67B0">
        <w:rPr>
          <w:rFonts w:ascii="Times New Roman" w:eastAsia="Times New Roman" w:hAnsi="Times New Roman" w:cs="Times New Roman"/>
          <w:color w:val="000000" w:themeColor="text1"/>
          <w:sz w:val="24"/>
          <w:szCs w:val="24"/>
          <w:lang w:val="es-ES"/>
        </w:rPr>
        <w:t>.</w:t>
      </w:r>
      <w:r w:rsidRPr="00AA67B0">
        <w:rPr>
          <w:rFonts w:ascii="Times New Roman" w:eastAsia="Times New Roman" w:hAnsi="Times New Roman" w:cs="Times New Roman"/>
          <w:color w:val="000000" w:themeColor="text1"/>
          <w:sz w:val="24"/>
          <w:szCs w:val="24"/>
          <w:lang w:val="es-ES"/>
        </w:rPr>
        <w:t xml:space="preserve"> </w:t>
      </w:r>
      <w:r w:rsidRPr="00AA67B0">
        <w:rPr>
          <w:rFonts w:ascii="Times New Roman" w:eastAsia="Times New Roman" w:hAnsi="Times New Roman" w:cs="Times New Roman"/>
          <w:i/>
          <w:color w:val="000000" w:themeColor="text1"/>
          <w:sz w:val="24"/>
          <w:szCs w:val="24"/>
          <w:lang w:val="es-ES"/>
        </w:rPr>
        <w:t>Desencadenantes del estrés laboral</w:t>
      </w:r>
      <w:r w:rsidRPr="00AA67B0">
        <w:rPr>
          <w:rFonts w:ascii="Times New Roman" w:eastAsia="Times New Roman" w:hAnsi="Times New Roman" w:cs="Times New Roman"/>
          <w:color w:val="000000" w:themeColor="text1"/>
          <w:sz w:val="24"/>
          <w:szCs w:val="24"/>
          <w:lang w:val="es-ES"/>
        </w:rPr>
        <w:t xml:space="preserve">. Madrid: Eudema. </w:t>
      </w:r>
    </w:p>
    <w:p w14:paraId="49127367" w14:textId="28D89A68" w:rsidR="00EB56D6" w:rsidRPr="00AA67B0" w:rsidRDefault="004D1F5E">
      <w:pPr>
        <w:ind w:left="709" w:hanging="709"/>
        <w:rPr>
          <w:rFonts w:ascii="Times New Roman" w:eastAsia="Times New Roman" w:hAnsi="Times New Roman" w:cs="Times New Roman"/>
          <w:color w:val="000000" w:themeColor="text1"/>
          <w:sz w:val="24"/>
          <w:szCs w:val="24"/>
          <w:lang w:val="es-ES"/>
        </w:rPr>
      </w:pPr>
      <w:r w:rsidRPr="00AA67B0">
        <w:rPr>
          <w:rFonts w:ascii="Times New Roman" w:eastAsia="Times New Roman" w:hAnsi="Times New Roman" w:cs="Times New Roman"/>
          <w:color w:val="000000" w:themeColor="text1"/>
          <w:sz w:val="24"/>
          <w:szCs w:val="24"/>
        </w:rPr>
        <w:t xml:space="preserve">Poulin, J. E., &amp; Walter, C. A. (1993). Burnout in gerontological social work. </w:t>
      </w:r>
      <w:r w:rsidRPr="00AA67B0">
        <w:rPr>
          <w:rFonts w:ascii="Times New Roman" w:eastAsia="Times New Roman" w:hAnsi="Times New Roman" w:cs="Times New Roman"/>
          <w:i/>
          <w:color w:val="000000" w:themeColor="text1"/>
          <w:sz w:val="24"/>
          <w:szCs w:val="24"/>
          <w:lang w:val="es-ES"/>
        </w:rPr>
        <w:t>Social Work, 38</w:t>
      </w:r>
      <w:r w:rsidRPr="00AA67B0">
        <w:rPr>
          <w:rFonts w:ascii="Times New Roman" w:eastAsia="Times New Roman" w:hAnsi="Times New Roman" w:cs="Times New Roman"/>
          <w:color w:val="000000" w:themeColor="text1"/>
          <w:sz w:val="24"/>
          <w:szCs w:val="24"/>
          <w:lang w:val="es-ES"/>
        </w:rPr>
        <w:t>(3), 305–</w:t>
      </w:r>
      <w:r w:rsidR="0052738E" w:rsidRPr="00AA67B0">
        <w:rPr>
          <w:rFonts w:ascii="Times New Roman" w:eastAsia="Times New Roman" w:hAnsi="Times New Roman" w:cs="Times New Roman"/>
          <w:color w:val="000000" w:themeColor="text1"/>
          <w:sz w:val="24"/>
          <w:szCs w:val="24"/>
          <w:lang w:val="es-ES"/>
        </w:rPr>
        <w:t>3</w:t>
      </w:r>
      <w:r w:rsidRPr="00AA67B0">
        <w:rPr>
          <w:rFonts w:ascii="Times New Roman" w:eastAsia="Times New Roman" w:hAnsi="Times New Roman" w:cs="Times New Roman"/>
          <w:color w:val="000000" w:themeColor="text1"/>
          <w:sz w:val="24"/>
          <w:szCs w:val="24"/>
          <w:lang w:val="es-ES"/>
        </w:rPr>
        <w:t xml:space="preserve">10. </w:t>
      </w:r>
      <w:hyperlink r:id="rId38">
        <w:r w:rsidRPr="00AA67B0">
          <w:rPr>
            <w:rFonts w:ascii="Times New Roman" w:eastAsia="Times New Roman" w:hAnsi="Times New Roman" w:cs="Times New Roman"/>
            <w:color w:val="000000" w:themeColor="text1"/>
            <w:sz w:val="24"/>
            <w:szCs w:val="24"/>
            <w:u w:val="single"/>
            <w:lang w:val="es-ES"/>
          </w:rPr>
          <w:t>https://doi.org/10.1093/sw/38.3.305</w:t>
        </w:r>
      </w:hyperlink>
      <w:r w:rsidRPr="00AA67B0">
        <w:rPr>
          <w:rFonts w:ascii="Times New Roman" w:eastAsia="Times New Roman" w:hAnsi="Times New Roman" w:cs="Times New Roman"/>
          <w:color w:val="000000" w:themeColor="text1"/>
          <w:sz w:val="24"/>
          <w:szCs w:val="24"/>
          <w:lang w:val="es-ES"/>
        </w:rPr>
        <w:t>.</w:t>
      </w:r>
    </w:p>
    <w:p w14:paraId="63E216D9" w14:textId="698EEE4D" w:rsidR="00EB56D6"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lang w:val="es-ES"/>
        </w:rPr>
        <w:t xml:space="preserve">Sánchez-Moreno, E., de La Fuente Roldán, I.-N., Gallardo-Peralta, L. P., &amp; de Roda, A. (2015). </w:t>
      </w:r>
      <w:r w:rsidRPr="00AA67B0">
        <w:rPr>
          <w:rFonts w:ascii="Times New Roman" w:eastAsia="Times New Roman" w:hAnsi="Times New Roman" w:cs="Times New Roman"/>
          <w:color w:val="000000" w:themeColor="text1"/>
          <w:sz w:val="24"/>
          <w:szCs w:val="24"/>
        </w:rPr>
        <w:t xml:space="preserve">Burnout, </w:t>
      </w:r>
      <w:r w:rsidR="0052738E" w:rsidRPr="00AA67B0">
        <w:rPr>
          <w:rFonts w:ascii="Times New Roman" w:eastAsia="Times New Roman" w:hAnsi="Times New Roman" w:cs="Times New Roman"/>
          <w:color w:val="000000" w:themeColor="text1"/>
          <w:sz w:val="24"/>
          <w:szCs w:val="24"/>
        </w:rPr>
        <w:t>informal social support and psychological distress among social workers</w:t>
      </w:r>
      <w:r w:rsidRPr="00AA67B0">
        <w:rPr>
          <w:rFonts w:ascii="Times New Roman" w:eastAsia="Times New Roman" w:hAnsi="Times New Roman" w:cs="Times New Roman"/>
          <w:color w:val="000000" w:themeColor="text1"/>
          <w:sz w:val="24"/>
          <w:szCs w:val="24"/>
        </w:rPr>
        <w:t xml:space="preserve">. </w:t>
      </w:r>
      <w:r w:rsidRPr="00AA67B0">
        <w:rPr>
          <w:rFonts w:ascii="Times New Roman" w:eastAsia="Times New Roman" w:hAnsi="Times New Roman" w:cs="Times New Roman"/>
          <w:i/>
          <w:color w:val="000000" w:themeColor="text1"/>
          <w:sz w:val="24"/>
          <w:szCs w:val="24"/>
        </w:rPr>
        <w:t>The British Journal of Social Work, 45</w:t>
      </w:r>
      <w:r w:rsidRPr="00AA67B0">
        <w:rPr>
          <w:rFonts w:ascii="Times New Roman" w:eastAsia="Times New Roman" w:hAnsi="Times New Roman" w:cs="Times New Roman"/>
          <w:color w:val="000000" w:themeColor="text1"/>
          <w:sz w:val="24"/>
          <w:szCs w:val="24"/>
        </w:rPr>
        <w:t xml:space="preserve">(8), 2368–2386. </w:t>
      </w:r>
      <w:hyperlink r:id="rId39">
        <w:r w:rsidRPr="00AA67B0">
          <w:rPr>
            <w:rFonts w:ascii="Times New Roman" w:eastAsia="Times New Roman" w:hAnsi="Times New Roman" w:cs="Times New Roman"/>
            <w:color w:val="000000" w:themeColor="text1"/>
            <w:sz w:val="24"/>
            <w:szCs w:val="24"/>
            <w:u w:val="single"/>
          </w:rPr>
          <w:t>https://doi.org/10.1093/bjsw/bcu084</w:t>
        </w:r>
      </w:hyperlink>
      <w:r w:rsidRPr="00AA67B0">
        <w:rPr>
          <w:rFonts w:ascii="Times New Roman" w:eastAsia="Times New Roman" w:hAnsi="Times New Roman" w:cs="Times New Roman"/>
          <w:color w:val="000000" w:themeColor="text1"/>
          <w:sz w:val="24"/>
          <w:szCs w:val="24"/>
        </w:rPr>
        <w:t>.</w:t>
      </w:r>
    </w:p>
    <w:p w14:paraId="73937A44" w14:textId="66E1B358" w:rsidR="00EB56D6"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lang w:val="es-ES"/>
        </w:rPr>
        <w:t xml:space="preserve">Schaufeli, W. B., &amp; Van Dierendonck, D. (1995). </w:t>
      </w:r>
      <w:r w:rsidRPr="00AA67B0">
        <w:rPr>
          <w:rFonts w:ascii="Times New Roman" w:eastAsia="Times New Roman" w:hAnsi="Times New Roman" w:cs="Times New Roman"/>
          <w:color w:val="000000" w:themeColor="text1"/>
          <w:sz w:val="24"/>
          <w:szCs w:val="24"/>
        </w:rPr>
        <w:t xml:space="preserve">A cautionary note about the cross-national and clinical validity of cut-off points for the Maslach Burnout Inventory. </w:t>
      </w:r>
      <w:r w:rsidRPr="00AA67B0">
        <w:rPr>
          <w:rFonts w:ascii="Times New Roman" w:eastAsia="Times New Roman" w:hAnsi="Times New Roman" w:cs="Times New Roman"/>
          <w:i/>
          <w:color w:val="000000" w:themeColor="text1"/>
          <w:sz w:val="24"/>
          <w:szCs w:val="24"/>
        </w:rPr>
        <w:t>Psychological Reports, 76</w:t>
      </w:r>
      <w:r w:rsidRPr="00AA67B0">
        <w:rPr>
          <w:rFonts w:ascii="Times New Roman" w:eastAsia="Times New Roman" w:hAnsi="Times New Roman" w:cs="Times New Roman"/>
          <w:color w:val="000000" w:themeColor="text1"/>
          <w:sz w:val="24"/>
          <w:szCs w:val="24"/>
        </w:rPr>
        <w:t>, 1083</w:t>
      </w:r>
      <w:r w:rsidR="0052738E"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1090. </w:t>
      </w:r>
      <w:hyperlink r:id="rId40">
        <w:r w:rsidRPr="00AA67B0">
          <w:rPr>
            <w:rFonts w:ascii="Times New Roman" w:eastAsia="Times New Roman" w:hAnsi="Times New Roman" w:cs="Times New Roman"/>
            <w:color w:val="000000" w:themeColor="text1"/>
            <w:sz w:val="24"/>
            <w:szCs w:val="24"/>
            <w:u w:val="single"/>
          </w:rPr>
          <w:t>https://doi.org/10.2466/pr0.1995.76.3c.1083</w:t>
        </w:r>
      </w:hyperlink>
      <w:r w:rsidRPr="00AA67B0">
        <w:rPr>
          <w:rFonts w:ascii="Times New Roman" w:eastAsia="Times New Roman" w:hAnsi="Times New Roman" w:cs="Times New Roman"/>
          <w:color w:val="000000" w:themeColor="text1"/>
          <w:sz w:val="24"/>
          <w:szCs w:val="24"/>
        </w:rPr>
        <w:t>.</w:t>
      </w:r>
    </w:p>
    <w:p w14:paraId="7BC67112" w14:textId="4628E64C" w:rsidR="00EB56D6"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 Schaufeli, W. B., Bakker, A. B., Hoogduin, K., Schaap, C., &amp; Kladler, A. (2001). The clinical validity of the Maslach Burnout Inventory and the Burnout Measure. </w:t>
      </w:r>
      <w:r w:rsidRPr="00AA67B0">
        <w:rPr>
          <w:rFonts w:ascii="Times New Roman" w:eastAsia="Times New Roman" w:hAnsi="Times New Roman" w:cs="Times New Roman"/>
          <w:i/>
          <w:color w:val="000000" w:themeColor="text1"/>
          <w:sz w:val="24"/>
          <w:szCs w:val="24"/>
        </w:rPr>
        <w:t>Psychology and Health, 16</w:t>
      </w:r>
      <w:r w:rsidRPr="00AA67B0">
        <w:rPr>
          <w:rFonts w:ascii="Times New Roman" w:eastAsia="Times New Roman" w:hAnsi="Times New Roman" w:cs="Times New Roman"/>
          <w:color w:val="000000" w:themeColor="text1"/>
          <w:sz w:val="24"/>
          <w:szCs w:val="24"/>
        </w:rPr>
        <w:t>, 565–582.</w:t>
      </w:r>
      <w:r w:rsidR="00522278" w:rsidRPr="00AA67B0">
        <w:rPr>
          <w:rFonts w:ascii="Times New Roman" w:eastAsia="Times New Roman" w:hAnsi="Times New Roman" w:cs="Times New Roman"/>
          <w:color w:val="000000" w:themeColor="text1"/>
          <w:sz w:val="24"/>
          <w:szCs w:val="24"/>
        </w:rPr>
        <w:t xml:space="preserve"> </w:t>
      </w:r>
      <w:hyperlink r:id="rId41" w:history="1">
        <w:r w:rsidR="00522278" w:rsidRPr="00AA67B0">
          <w:rPr>
            <w:rStyle w:val="Hipervnculo"/>
            <w:rFonts w:ascii="Times New Roman" w:eastAsia="Times New Roman" w:hAnsi="Times New Roman" w:cs="Times New Roman"/>
            <w:color w:val="000000" w:themeColor="text1"/>
            <w:sz w:val="24"/>
            <w:szCs w:val="24"/>
          </w:rPr>
          <w:t>https://doi.org/10.1080/08870440108405527</w:t>
        </w:r>
      </w:hyperlink>
      <w:r w:rsidR="00522278" w:rsidRPr="00AA67B0">
        <w:rPr>
          <w:rFonts w:ascii="Times New Roman" w:eastAsia="Times New Roman" w:hAnsi="Times New Roman" w:cs="Times New Roman"/>
          <w:color w:val="000000" w:themeColor="text1"/>
          <w:sz w:val="24"/>
          <w:szCs w:val="24"/>
        </w:rPr>
        <w:t>.</w:t>
      </w:r>
    </w:p>
    <w:p w14:paraId="06ECAED0" w14:textId="77777777" w:rsidR="00EB56D6"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Schwartz, R. H., Tiamiyu, M. F., &amp; Dwyer, D. J. (2007). Social worker hope and perceived burnout: The effects of age, years in practice, and setting. </w:t>
      </w:r>
      <w:r w:rsidRPr="00AA67B0">
        <w:rPr>
          <w:rFonts w:ascii="Times New Roman" w:eastAsia="Times New Roman" w:hAnsi="Times New Roman" w:cs="Times New Roman"/>
          <w:i/>
          <w:color w:val="000000" w:themeColor="text1"/>
          <w:sz w:val="24"/>
          <w:szCs w:val="24"/>
        </w:rPr>
        <w:t>Administration in Social Work, 31</w:t>
      </w:r>
      <w:r w:rsidRPr="00AA67B0">
        <w:rPr>
          <w:rFonts w:ascii="Times New Roman" w:eastAsia="Times New Roman" w:hAnsi="Times New Roman" w:cs="Times New Roman"/>
          <w:color w:val="000000" w:themeColor="text1"/>
          <w:sz w:val="24"/>
          <w:szCs w:val="24"/>
        </w:rPr>
        <w:t xml:space="preserve">(4), 103–119. </w:t>
      </w:r>
      <w:hyperlink r:id="rId42">
        <w:r w:rsidRPr="00AA67B0">
          <w:rPr>
            <w:rFonts w:ascii="Times New Roman" w:eastAsia="Times New Roman" w:hAnsi="Times New Roman" w:cs="Times New Roman"/>
            <w:color w:val="000000" w:themeColor="text1"/>
            <w:sz w:val="24"/>
            <w:szCs w:val="24"/>
            <w:u w:val="single"/>
          </w:rPr>
          <w:t>https://doi.org/10.1300/J147v31n04_08</w:t>
        </w:r>
      </w:hyperlink>
      <w:r w:rsidRPr="00AA67B0">
        <w:rPr>
          <w:rFonts w:ascii="Times New Roman" w:eastAsia="Times New Roman" w:hAnsi="Times New Roman" w:cs="Times New Roman"/>
          <w:color w:val="000000" w:themeColor="text1"/>
          <w:sz w:val="24"/>
          <w:szCs w:val="24"/>
        </w:rPr>
        <w:t>.</w:t>
      </w:r>
    </w:p>
    <w:p w14:paraId="40FB0B00" w14:textId="7BAA1453" w:rsidR="00EB56D6"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lang w:val="es-ES"/>
        </w:rPr>
        <w:t xml:space="preserve">Seisdedos, N. (1997). </w:t>
      </w:r>
      <w:r w:rsidRPr="00AA67B0">
        <w:rPr>
          <w:rFonts w:ascii="Times New Roman" w:eastAsia="Times New Roman" w:hAnsi="Times New Roman" w:cs="Times New Roman"/>
          <w:i/>
          <w:color w:val="000000" w:themeColor="text1"/>
          <w:sz w:val="24"/>
          <w:szCs w:val="24"/>
          <w:lang w:val="es-ES"/>
        </w:rPr>
        <w:t>Inventario Burnout de Maslach, Síndrome del Quemado por Estrés laboral Asistencial</w:t>
      </w:r>
      <w:r w:rsidRPr="00AA67B0">
        <w:rPr>
          <w:rFonts w:ascii="Times New Roman" w:eastAsia="Times New Roman" w:hAnsi="Times New Roman" w:cs="Times New Roman"/>
          <w:color w:val="000000" w:themeColor="text1"/>
          <w:sz w:val="24"/>
          <w:szCs w:val="24"/>
          <w:lang w:val="es-ES"/>
        </w:rPr>
        <w:t xml:space="preserve">. </w:t>
      </w:r>
      <w:r w:rsidRPr="00AA67B0">
        <w:rPr>
          <w:rFonts w:ascii="Times New Roman" w:eastAsia="Times New Roman" w:hAnsi="Times New Roman" w:cs="Times New Roman"/>
          <w:color w:val="000000" w:themeColor="text1"/>
          <w:sz w:val="24"/>
          <w:szCs w:val="24"/>
        </w:rPr>
        <w:t>Madrid</w:t>
      </w:r>
      <w:r w:rsidR="0052738E"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TEA.</w:t>
      </w:r>
    </w:p>
    <w:p w14:paraId="79E1C3A2" w14:textId="3C11FB17" w:rsidR="00EB56D6"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Shinn, M., R</w:t>
      </w:r>
      <w:r w:rsidR="00DE6DD9" w:rsidRPr="00AA67B0">
        <w:rPr>
          <w:rFonts w:ascii="Times New Roman" w:eastAsia="Times New Roman" w:hAnsi="Times New Roman" w:cs="Times New Roman"/>
          <w:color w:val="000000" w:themeColor="text1"/>
          <w:sz w:val="24"/>
          <w:szCs w:val="24"/>
        </w:rPr>
        <w:t>osario</w:t>
      </w:r>
      <w:r w:rsidRPr="00AA67B0">
        <w:rPr>
          <w:rFonts w:ascii="Times New Roman" w:eastAsia="Times New Roman" w:hAnsi="Times New Roman" w:cs="Times New Roman"/>
          <w:color w:val="000000" w:themeColor="text1"/>
          <w:sz w:val="24"/>
          <w:szCs w:val="24"/>
        </w:rPr>
        <w:t>, M., Morch, H., &amp; Chestnut, D.</w:t>
      </w:r>
      <w:r w:rsidR="00DE6DD9" w:rsidRPr="00AA67B0">
        <w:rPr>
          <w:rFonts w:ascii="Times New Roman" w:eastAsia="Times New Roman" w:hAnsi="Times New Roman" w:cs="Times New Roman"/>
          <w:color w:val="000000" w:themeColor="text1"/>
          <w:sz w:val="24"/>
          <w:szCs w:val="24"/>
        </w:rPr>
        <w:t xml:space="preserve"> E.</w:t>
      </w:r>
      <w:r w:rsidRPr="00AA67B0">
        <w:rPr>
          <w:rFonts w:ascii="Times New Roman" w:eastAsia="Times New Roman" w:hAnsi="Times New Roman" w:cs="Times New Roman"/>
          <w:color w:val="000000" w:themeColor="text1"/>
          <w:sz w:val="24"/>
          <w:szCs w:val="24"/>
        </w:rPr>
        <w:t xml:space="preserve"> (1984). Coping with job stress and burnout in human services. </w:t>
      </w:r>
      <w:r w:rsidRPr="00AA67B0">
        <w:rPr>
          <w:rFonts w:ascii="Times New Roman" w:eastAsia="Times New Roman" w:hAnsi="Times New Roman" w:cs="Times New Roman"/>
          <w:i/>
          <w:color w:val="000000" w:themeColor="text1"/>
          <w:sz w:val="24"/>
          <w:szCs w:val="24"/>
        </w:rPr>
        <w:t xml:space="preserve">Journal of </w:t>
      </w:r>
      <w:r w:rsidR="00DE6DD9" w:rsidRPr="00AA67B0">
        <w:rPr>
          <w:rFonts w:ascii="Times New Roman" w:eastAsia="Times New Roman" w:hAnsi="Times New Roman" w:cs="Times New Roman"/>
          <w:i/>
          <w:color w:val="000000" w:themeColor="text1"/>
          <w:sz w:val="24"/>
          <w:szCs w:val="24"/>
        </w:rPr>
        <w:t>P</w:t>
      </w:r>
      <w:r w:rsidRPr="00AA67B0">
        <w:rPr>
          <w:rFonts w:ascii="Times New Roman" w:eastAsia="Times New Roman" w:hAnsi="Times New Roman" w:cs="Times New Roman"/>
          <w:i/>
          <w:color w:val="000000" w:themeColor="text1"/>
          <w:sz w:val="24"/>
          <w:szCs w:val="24"/>
        </w:rPr>
        <w:t xml:space="preserve">ersonality and </w:t>
      </w:r>
      <w:r w:rsidR="00DE6DD9" w:rsidRPr="00AA67B0">
        <w:rPr>
          <w:rFonts w:ascii="Times New Roman" w:eastAsia="Times New Roman" w:hAnsi="Times New Roman" w:cs="Times New Roman"/>
          <w:i/>
          <w:color w:val="000000" w:themeColor="text1"/>
          <w:sz w:val="24"/>
          <w:szCs w:val="24"/>
        </w:rPr>
        <w:t>S</w:t>
      </w:r>
      <w:r w:rsidRPr="00AA67B0">
        <w:rPr>
          <w:rFonts w:ascii="Times New Roman" w:eastAsia="Times New Roman" w:hAnsi="Times New Roman" w:cs="Times New Roman"/>
          <w:i/>
          <w:color w:val="000000" w:themeColor="text1"/>
          <w:sz w:val="24"/>
          <w:szCs w:val="24"/>
        </w:rPr>
        <w:t xml:space="preserve">ocial </w:t>
      </w:r>
      <w:r w:rsidR="00DE6DD9" w:rsidRPr="00AA67B0">
        <w:rPr>
          <w:rFonts w:ascii="Times New Roman" w:eastAsia="Times New Roman" w:hAnsi="Times New Roman" w:cs="Times New Roman"/>
          <w:i/>
          <w:color w:val="000000" w:themeColor="text1"/>
          <w:sz w:val="24"/>
          <w:szCs w:val="24"/>
        </w:rPr>
        <w:t>P</w:t>
      </w:r>
      <w:r w:rsidRPr="00AA67B0">
        <w:rPr>
          <w:rFonts w:ascii="Times New Roman" w:eastAsia="Times New Roman" w:hAnsi="Times New Roman" w:cs="Times New Roman"/>
          <w:i/>
          <w:color w:val="000000" w:themeColor="text1"/>
          <w:sz w:val="24"/>
          <w:szCs w:val="24"/>
        </w:rPr>
        <w:t>sychology</w:t>
      </w:r>
      <w:r w:rsidR="00DE6DD9" w:rsidRPr="00AA67B0">
        <w:rPr>
          <w:rFonts w:ascii="Times New Roman" w:eastAsia="Times New Roman" w:hAnsi="Times New Roman" w:cs="Times New Roman"/>
          <w:i/>
          <w:color w:val="000000" w:themeColor="text1"/>
          <w:sz w:val="24"/>
          <w:szCs w:val="24"/>
        </w:rPr>
        <w:t>,</w:t>
      </w:r>
      <w:r w:rsidR="00DD3384" w:rsidRPr="00AA67B0">
        <w:rPr>
          <w:rFonts w:ascii="Times New Roman" w:eastAsia="Times New Roman" w:hAnsi="Times New Roman" w:cs="Times New Roman"/>
          <w:i/>
          <w:color w:val="000000" w:themeColor="text1"/>
          <w:sz w:val="24"/>
          <w:szCs w:val="24"/>
        </w:rPr>
        <w:t xml:space="preserve"> </w:t>
      </w:r>
      <w:r w:rsidRPr="00AA67B0">
        <w:rPr>
          <w:rFonts w:ascii="Times New Roman" w:eastAsia="Times New Roman" w:hAnsi="Times New Roman" w:cs="Times New Roman"/>
          <w:i/>
          <w:color w:val="000000" w:themeColor="text1"/>
          <w:sz w:val="24"/>
          <w:szCs w:val="24"/>
        </w:rPr>
        <w:t xml:space="preserve">46, </w:t>
      </w:r>
      <w:r w:rsidRPr="00AA67B0">
        <w:rPr>
          <w:rFonts w:ascii="Times New Roman" w:eastAsia="Times New Roman" w:hAnsi="Times New Roman" w:cs="Times New Roman"/>
          <w:color w:val="000000" w:themeColor="text1"/>
          <w:sz w:val="24"/>
          <w:szCs w:val="24"/>
        </w:rPr>
        <w:t>864</w:t>
      </w:r>
      <w:r w:rsidR="0052738E"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876. </w:t>
      </w:r>
      <w:hyperlink r:id="rId43">
        <w:r w:rsidRPr="00AA67B0">
          <w:rPr>
            <w:rFonts w:ascii="Times New Roman" w:eastAsia="Times New Roman" w:hAnsi="Times New Roman" w:cs="Times New Roman"/>
            <w:color w:val="000000" w:themeColor="text1"/>
            <w:sz w:val="24"/>
            <w:szCs w:val="24"/>
            <w:u w:val="single"/>
          </w:rPr>
          <w:t>https://doi.org/10.1037/0022-3514.46.4.864</w:t>
        </w:r>
      </w:hyperlink>
      <w:r w:rsidRPr="00AA67B0">
        <w:rPr>
          <w:rFonts w:ascii="Times New Roman" w:eastAsia="Times New Roman" w:hAnsi="Times New Roman" w:cs="Times New Roman"/>
          <w:color w:val="000000" w:themeColor="text1"/>
          <w:sz w:val="24"/>
          <w:szCs w:val="24"/>
        </w:rPr>
        <w:t>.</w:t>
      </w:r>
    </w:p>
    <w:p w14:paraId="651B0660" w14:textId="420AE9D3" w:rsidR="00EB56D6"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Siefert, K., Jayaratne, S., &amp; Chess, W. (1991). Job </w:t>
      </w:r>
      <w:r w:rsidR="00DE6DD9" w:rsidRPr="00AA67B0">
        <w:rPr>
          <w:rFonts w:ascii="Times New Roman" w:eastAsia="Times New Roman" w:hAnsi="Times New Roman" w:cs="Times New Roman"/>
          <w:color w:val="000000" w:themeColor="text1"/>
          <w:sz w:val="24"/>
          <w:szCs w:val="24"/>
        </w:rPr>
        <w:t>satisfaction, burnout, and turnover in health care social worker</w:t>
      </w:r>
      <w:r w:rsidRPr="00AA67B0">
        <w:rPr>
          <w:rFonts w:ascii="Times New Roman" w:eastAsia="Times New Roman" w:hAnsi="Times New Roman" w:cs="Times New Roman"/>
          <w:color w:val="000000" w:themeColor="text1"/>
          <w:sz w:val="24"/>
          <w:szCs w:val="24"/>
        </w:rPr>
        <w:t xml:space="preserve">s. </w:t>
      </w:r>
      <w:r w:rsidRPr="00AA67B0">
        <w:rPr>
          <w:rFonts w:ascii="Times New Roman" w:eastAsia="Times New Roman" w:hAnsi="Times New Roman" w:cs="Times New Roman"/>
          <w:i/>
          <w:color w:val="000000" w:themeColor="text1"/>
          <w:sz w:val="24"/>
          <w:szCs w:val="24"/>
        </w:rPr>
        <w:t xml:space="preserve">Health &amp; </w:t>
      </w:r>
      <w:r w:rsidR="00DE6DD9" w:rsidRPr="00AA67B0">
        <w:rPr>
          <w:rFonts w:ascii="Times New Roman" w:eastAsia="Times New Roman" w:hAnsi="Times New Roman" w:cs="Times New Roman"/>
          <w:i/>
          <w:color w:val="000000" w:themeColor="text1"/>
          <w:sz w:val="24"/>
          <w:szCs w:val="24"/>
        </w:rPr>
        <w:t>S</w:t>
      </w:r>
      <w:r w:rsidRPr="00AA67B0">
        <w:rPr>
          <w:rFonts w:ascii="Times New Roman" w:eastAsia="Times New Roman" w:hAnsi="Times New Roman" w:cs="Times New Roman"/>
          <w:i/>
          <w:color w:val="000000" w:themeColor="text1"/>
          <w:sz w:val="24"/>
          <w:szCs w:val="24"/>
        </w:rPr>
        <w:t xml:space="preserve">ocial </w:t>
      </w:r>
      <w:r w:rsidR="00DE6DD9" w:rsidRPr="00AA67B0">
        <w:rPr>
          <w:rFonts w:ascii="Times New Roman" w:eastAsia="Times New Roman" w:hAnsi="Times New Roman" w:cs="Times New Roman"/>
          <w:i/>
          <w:color w:val="000000" w:themeColor="text1"/>
          <w:sz w:val="24"/>
          <w:szCs w:val="24"/>
        </w:rPr>
        <w:t>W</w:t>
      </w:r>
      <w:r w:rsidRPr="00AA67B0">
        <w:rPr>
          <w:rFonts w:ascii="Times New Roman" w:eastAsia="Times New Roman" w:hAnsi="Times New Roman" w:cs="Times New Roman"/>
          <w:i/>
          <w:color w:val="000000" w:themeColor="text1"/>
          <w:sz w:val="24"/>
          <w:szCs w:val="24"/>
        </w:rPr>
        <w:t>ork, 16</w:t>
      </w:r>
      <w:r w:rsidRPr="00AA67B0">
        <w:rPr>
          <w:rFonts w:ascii="Times New Roman" w:eastAsia="Times New Roman" w:hAnsi="Times New Roman" w:cs="Times New Roman"/>
          <w:color w:val="000000" w:themeColor="text1"/>
          <w:sz w:val="24"/>
          <w:szCs w:val="24"/>
        </w:rPr>
        <w:t>(3), 193</w:t>
      </w:r>
      <w:r w:rsidR="00DE6DD9"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202. </w:t>
      </w:r>
      <w:hyperlink r:id="rId44">
        <w:r w:rsidRPr="00AA67B0">
          <w:rPr>
            <w:rFonts w:ascii="Times New Roman" w:eastAsia="Times New Roman" w:hAnsi="Times New Roman" w:cs="Times New Roman"/>
            <w:color w:val="000000" w:themeColor="text1"/>
            <w:sz w:val="24"/>
            <w:szCs w:val="24"/>
            <w:u w:val="single"/>
          </w:rPr>
          <w:t>https://doi.org/10.1093/hsw/16.3.193</w:t>
        </w:r>
      </w:hyperlink>
      <w:r w:rsidRPr="00AA67B0">
        <w:rPr>
          <w:rFonts w:ascii="Times New Roman" w:eastAsia="Times New Roman" w:hAnsi="Times New Roman" w:cs="Times New Roman"/>
          <w:color w:val="000000" w:themeColor="text1"/>
          <w:sz w:val="24"/>
          <w:szCs w:val="24"/>
        </w:rPr>
        <w:t>.</w:t>
      </w:r>
    </w:p>
    <w:p w14:paraId="58D079B3" w14:textId="3699894C" w:rsidR="00EB56D6" w:rsidRPr="00AA67B0" w:rsidRDefault="004D1F5E">
      <w:pPr>
        <w:ind w:left="709" w:hanging="709"/>
        <w:rPr>
          <w:rFonts w:ascii="Times New Roman" w:eastAsia="Times New Roman" w:hAnsi="Times New Roman" w:cs="Times New Roman"/>
          <w:color w:val="000000" w:themeColor="text1"/>
          <w:sz w:val="24"/>
          <w:szCs w:val="24"/>
          <w:lang w:val="es-ES"/>
        </w:rPr>
      </w:pPr>
      <w:r w:rsidRPr="00AA67B0">
        <w:rPr>
          <w:rFonts w:ascii="Times New Roman" w:eastAsia="Times New Roman" w:hAnsi="Times New Roman" w:cs="Times New Roman"/>
          <w:color w:val="000000" w:themeColor="text1"/>
          <w:sz w:val="24"/>
          <w:szCs w:val="24"/>
        </w:rPr>
        <w:t>Söderfeldt, M., Söderfeldt</w:t>
      </w:r>
      <w:r w:rsidR="00DE6DD9"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B.</w:t>
      </w:r>
      <w:r w:rsidR="00DE6DD9"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w:t>
      </w:r>
      <w:r w:rsidR="00DE6DD9" w:rsidRPr="00AA67B0">
        <w:rPr>
          <w:rFonts w:ascii="Times New Roman" w:eastAsia="Times New Roman" w:hAnsi="Times New Roman" w:cs="Times New Roman"/>
          <w:color w:val="000000" w:themeColor="text1"/>
          <w:sz w:val="24"/>
          <w:szCs w:val="24"/>
        </w:rPr>
        <w:t xml:space="preserve">&amp; </w:t>
      </w:r>
      <w:r w:rsidRPr="00AA67B0">
        <w:rPr>
          <w:rFonts w:ascii="Times New Roman" w:eastAsia="Times New Roman" w:hAnsi="Times New Roman" w:cs="Times New Roman"/>
          <w:color w:val="000000" w:themeColor="text1"/>
          <w:sz w:val="24"/>
          <w:szCs w:val="24"/>
        </w:rPr>
        <w:t>Warg</w:t>
      </w:r>
      <w:r w:rsidR="00DE6DD9"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L. (1995). Burnout in social work. </w:t>
      </w:r>
      <w:r w:rsidRPr="00AA67B0">
        <w:rPr>
          <w:rFonts w:ascii="Times New Roman" w:eastAsia="Times New Roman" w:hAnsi="Times New Roman" w:cs="Times New Roman"/>
          <w:i/>
          <w:color w:val="000000" w:themeColor="text1"/>
          <w:sz w:val="24"/>
          <w:szCs w:val="24"/>
        </w:rPr>
        <w:t>National Association of Social Workers Review, 40</w:t>
      </w:r>
      <w:r w:rsidRPr="00AA67B0">
        <w:rPr>
          <w:rFonts w:ascii="Times New Roman" w:eastAsia="Times New Roman" w:hAnsi="Times New Roman" w:cs="Times New Roman"/>
          <w:color w:val="000000" w:themeColor="text1"/>
          <w:sz w:val="24"/>
          <w:szCs w:val="24"/>
        </w:rPr>
        <w:t>, 638</w:t>
      </w:r>
      <w:r w:rsidR="00DE6DD9"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646.</w:t>
      </w:r>
      <w:r w:rsidR="00522278" w:rsidRPr="00AA67B0">
        <w:rPr>
          <w:rFonts w:ascii="Times New Roman" w:eastAsia="Times New Roman" w:hAnsi="Times New Roman" w:cs="Times New Roman"/>
          <w:color w:val="000000" w:themeColor="text1"/>
          <w:sz w:val="24"/>
          <w:szCs w:val="24"/>
        </w:rPr>
        <w:t xml:space="preserve"> </w:t>
      </w:r>
      <w:hyperlink r:id="rId45" w:history="1">
        <w:r w:rsidR="00522278" w:rsidRPr="00AA67B0">
          <w:rPr>
            <w:rStyle w:val="Hipervnculo"/>
            <w:rFonts w:ascii="Times New Roman" w:eastAsia="Times New Roman" w:hAnsi="Times New Roman" w:cs="Times New Roman"/>
            <w:color w:val="000000" w:themeColor="text1"/>
            <w:sz w:val="24"/>
            <w:szCs w:val="24"/>
            <w:lang w:val="es-ES"/>
          </w:rPr>
          <w:t>https://doi.org/10.1093/sw/40.5.638</w:t>
        </w:r>
      </w:hyperlink>
      <w:r w:rsidR="00522278" w:rsidRPr="00AA67B0">
        <w:rPr>
          <w:rFonts w:ascii="Times New Roman" w:eastAsia="Times New Roman" w:hAnsi="Times New Roman" w:cs="Times New Roman"/>
          <w:color w:val="000000" w:themeColor="text1"/>
          <w:sz w:val="24"/>
          <w:szCs w:val="24"/>
          <w:lang w:val="es-ES"/>
        </w:rPr>
        <w:t>.</w:t>
      </w:r>
    </w:p>
    <w:p w14:paraId="50D9A649" w14:textId="77777777" w:rsidR="00EB56D6"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lang w:val="es-ES"/>
        </w:rPr>
        <w:t xml:space="preserve">Soler, J. K., Yaman, H., Esteva, M., Dobbs, F., Asenova, R. S., Katic, M., … </w:t>
      </w:r>
      <w:r w:rsidRPr="00AA67B0">
        <w:rPr>
          <w:rFonts w:ascii="Times New Roman" w:eastAsia="Times New Roman" w:hAnsi="Times New Roman" w:cs="Times New Roman"/>
          <w:color w:val="000000" w:themeColor="text1"/>
          <w:sz w:val="24"/>
          <w:szCs w:val="24"/>
        </w:rPr>
        <w:t xml:space="preserve">Ungan, M. (2008). Burnout in European family doctors: the EGPRN study. </w:t>
      </w:r>
      <w:r w:rsidRPr="00AA67B0">
        <w:rPr>
          <w:rFonts w:ascii="Times New Roman" w:eastAsia="Times New Roman" w:hAnsi="Times New Roman" w:cs="Times New Roman"/>
          <w:i/>
          <w:color w:val="000000" w:themeColor="text1"/>
          <w:sz w:val="24"/>
          <w:szCs w:val="24"/>
        </w:rPr>
        <w:t>Family Practice, 25</w:t>
      </w:r>
      <w:r w:rsidRPr="00AA67B0">
        <w:rPr>
          <w:rFonts w:ascii="Times New Roman" w:eastAsia="Times New Roman" w:hAnsi="Times New Roman" w:cs="Times New Roman"/>
          <w:color w:val="000000" w:themeColor="text1"/>
          <w:sz w:val="24"/>
          <w:szCs w:val="24"/>
        </w:rPr>
        <w:t xml:space="preserve">(4), 245–265. </w:t>
      </w:r>
      <w:hyperlink r:id="rId46">
        <w:r w:rsidRPr="00AA67B0">
          <w:rPr>
            <w:rFonts w:ascii="Times New Roman" w:eastAsia="Times New Roman" w:hAnsi="Times New Roman" w:cs="Times New Roman"/>
            <w:color w:val="000000" w:themeColor="text1"/>
            <w:sz w:val="24"/>
            <w:szCs w:val="24"/>
            <w:u w:val="single"/>
          </w:rPr>
          <w:t>https://doi.org/10.1093/fampra/cmn038</w:t>
        </w:r>
      </w:hyperlink>
      <w:r w:rsidRPr="00AA67B0">
        <w:rPr>
          <w:rFonts w:ascii="Times New Roman" w:eastAsia="Times New Roman" w:hAnsi="Times New Roman" w:cs="Times New Roman"/>
          <w:color w:val="000000" w:themeColor="text1"/>
          <w:sz w:val="24"/>
          <w:szCs w:val="24"/>
        </w:rPr>
        <w:t>.</w:t>
      </w:r>
    </w:p>
    <w:p w14:paraId="48CD2BB1" w14:textId="77777777" w:rsidR="00EB56D6"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lastRenderedPageBreak/>
        <w:t xml:space="preserve">Taris, T. W. (2006). Is there a relationship between burnout and objective performance? A critical review of 16 studies. </w:t>
      </w:r>
      <w:r w:rsidRPr="00AA67B0">
        <w:rPr>
          <w:rFonts w:ascii="Times New Roman" w:eastAsia="Times New Roman" w:hAnsi="Times New Roman" w:cs="Times New Roman"/>
          <w:i/>
          <w:color w:val="000000" w:themeColor="text1"/>
          <w:sz w:val="24"/>
          <w:szCs w:val="24"/>
        </w:rPr>
        <w:t>Work &amp; Stress, 20</w:t>
      </w:r>
      <w:r w:rsidRPr="00AA67B0">
        <w:rPr>
          <w:rFonts w:ascii="Times New Roman" w:eastAsia="Times New Roman" w:hAnsi="Times New Roman" w:cs="Times New Roman"/>
          <w:color w:val="000000" w:themeColor="text1"/>
          <w:sz w:val="24"/>
          <w:szCs w:val="24"/>
        </w:rPr>
        <w:t xml:space="preserve">(4), 316–334. </w:t>
      </w:r>
      <w:hyperlink r:id="rId47">
        <w:r w:rsidRPr="00AA67B0">
          <w:rPr>
            <w:rFonts w:ascii="Times New Roman" w:eastAsia="Times New Roman" w:hAnsi="Times New Roman" w:cs="Times New Roman"/>
            <w:color w:val="000000" w:themeColor="text1"/>
            <w:sz w:val="24"/>
            <w:szCs w:val="24"/>
            <w:u w:val="single"/>
          </w:rPr>
          <w:t>https://doi.org/10.1080/02678370601065893</w:t>
        </w:r>
      </w:hyperlink>
      <w:r w:rsidRPr="00AA67B0">
        <w:rPr>
          <w:rFonts w:ascii="Times New Roman" w:eastAsia="Times New Roman" w:hAnsi="Times New Roman" w:cs="Times New Roman"/>
          <w:color w:val="000000" w:themeColor="text1"/>
          <w:sz w:val="24"/>
          <w:szCs w:val="24"/>
        </w:rPr>
        <w:t xml:space="preserve">. </w:t>
      </w:r>
    </w:p>
    <w:p w14:paraId="0211F1BB" w14:textId="76255412" w:rsidR="00EB56D6" w:rsidRPr="00AA67B0" w:rsidRDefault="004D1F5E">
      <w:pPr>
        <w:ind w:left="709" w:hanging="709"/>
        <w:rPr>
          <w:rFonts w:ascii="Times New Roman" w:eastAsia="Times New Roman" w:hAnsi="Times New Roman" w:cs="Times New Roman"/>
          <w:color w:val="000000" w:themeColor="text1"/>
          <w:sz w:val="24"/>
          <w:szCs w:val="24"/>
          <w:lang w:val="es-ES"/>
        </w:rPr>
      </w:pPr>
      <w:r w:rsidRPr="00AA67B0">
        <w:rPr>
          <w:rFonts w:ascii="Times New Roman" w:eastAsia="Times New Roman" w:hAnsi="Times New Roman" w:cs="Times New Roman"/>
          <w:color w:val="000000" w:themeColor="text1"/>
          <w:sz w:val="24"/>
          <w:szCs w:val="24"/>
          <w:lang w:val="es-ES"/>
        </w:rPr>
        <w:t>Toppinen</w:t>
      </w:r>
      <w:r w:rsidR="00C038E4" w:rsidRPr="00AA67B0">
        <w:rPr>
          <w:rFonts w:ascii="Times New Roman" w:eastAsia="Times New Roman" w:hAnsi="Times New Roman" w:cs="Times New Roman"/>
          <w:color w:val="000000" w:themeColor="text1"/>
          <w:sz w:val="24"/>
          <w:szCs w:val="24"/>
          <w:lang w:val="es-ES"/>
        </w:rPr>
        <w:t>-Tanner</w:t>
      </w:r>
      <w:r w:rsidRPr="00AA67B0">
        <w:rPr>
          <w:rFonts w:ascii="Times New Roman" w:eastAsia="Times New Roman" w:hAnsi="Times New Roman" w:cs="Times New Roman"/>
          <w:color w:val="000000" w:themeColor="text1"/>
          <w:sz w:val="24"/>
          <w:szCs w:val="24"/>
          <w:lang w:val="es-ES"/>
        </w:rPr>
        <w:t xml:space="preserve">, S., Kalimo, R., &amp; Mutanen, P. (2002). </w:t>
      </w:r>
      <w:r w:rsidRPr="00AA67B0">
        <w:rPr>
          <w:rFonts w:ascii="Times New Roman" w:eastAsia="Times New Roman" w:hAnsi="Times New Roman" w:cs="Times New Roman"/>
          <w:color w:val="000000" w:themeColor="text1"/>
          <w:sz w:val="24"/>
          <w:szCs w:val="24"/>
        </w:rPr>
        <w:t xml:space="preserve">The process of burnout in white collar and blue collar jobs: Eight year prospective study of exhaustion. </w:t>
      </w:r>
      <w:r w:rsidRPr="00AA67B0">
        <w:rPr>
          <w:rFonts w:ascii="Times New Roman" w:eastAsia="Times New Roman" w:hAnsi="Times New Roman" w:cs="Times New Roman"/>
          <w:i/>
          <w:color w:val="000000" w:themeColor="text1"/>
          <w:sz w:val="24"/>
          <w:szCs w:val="24"/>
        </w:rPr>
        <w:t>Journal of</w:t>
      </w:r>
      <w:r w:rsidRPr="00AA67B0">
        <w:rPr>
          <w:rFonts w:ascii="Times New Roman" w:eastAsia="Times New Roman" w:hAnsi="Times New Roman" w:cs="Times New Roman"/>
          <w:color w:val="000000" w:themeColor="text1"/>
          <w:sz w:val="24"/>
          <w:szCs w:val="24"/>
        </w:rPr>
        <w:t xml:space="preserve"> </w:t>
      </w:r>
      <w:r w:rsidRPr="00AA67B0">
        <w:rPr>
          <w:rFonts w:ascii="Times New Roman" w:eastAsia="Times New Roman" w:hAnsi="Times New Roman" w:cs="Times New Roman"/>
          <w:i/>
          <w:color w:val="000000" w:themeColor="text1"/>
          <w:sz w:val="24"/>
          <w:szCs w:val="24"/>
        </w:rPr>
        <w:t>Organizational Behavior, 23</w:t>
      </w:r>
      <w:r w:rsidRPr="00AA67B0">
        <w:rPr>
          <w:rFonts w:ascii="Times New Roman" w:eastAsia="Times New Roman" w:hAnsi="Times New Roman" w:cs="Times New Roman"/>
          <w:color w:val="000000" w:themeColor="text1"/>
          <w:sz w:val="24"/>
          <w:szCs w:val="24"/>
        </w:rPr>
        <w:t>, 555</w:t>
      </w:r>
      <w:r w:rsidR="00AE7C1F"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570.</w:t>
      </w:r>
      <w:r w:rsidR="00522278" w:rsidRPr="00AA67B0">
        <w:rPr>
          <w:rFonts w:ascii="Times New Roman" w:eastAsia="Times New Roman" w:hAnsi="Times New Roman" w:cs="Times New Roman"/>
          <w:color w:val="000000" w:themeColor="text1"/>
          <w:sz w:val="24"/>
          <w:szCs w:val="24"/>
        </w:rPr>
        <w:t xml:space="preserve"> </w:t>
      </w:r>
      <w:hyperlink r:id="rId48" w:history="1">
        <w:r w:rsidR="00522278" w:rsidRPr="00AA67B0">
          <w:rPr>
            <w:rStyle w:val="Hipervnculo"/>
            <w:rFonts w:ascii="Times New Roman" w:eastAsia="Times New Roman" w:hAnsi="Times New Roman" w:cs="Times New Roman"/>
            <w:color w:val="000000" w:themeColor="text1"/>
            <w:sz w:val="24"/>
            <w:szCs w:val="24"/>
            <w:lang w:val="es-ES"/>
          </w:rPr>
          <w:t>https://doi.org/10.1002/job.155</w:t>
        </w:r>
      </w:hyperlink>
      <w:r w:rsidR="00522278" w:rsidRPr="00AA67B0">
        <w:rPr>
          <w:rFonts w:ascii="Times New Roman" w:eastAsia="Times New Roman" w:hAnsi="Times New Roman" w:cs="Times New Roman"/>
          <w:color w:val="000000" w:themeColor="text1"/>
          <w:sz w:val="24"/>
          <w:szCs w:val="24"/>
          <w:lang w:val="es-ES"/>
        </w:rPr>
        <w:t>.</w:t>
      </w:r>
    </w:p>
    <w:p w14:paraId="057350E7" w14:textId="33B06E8C" w:rsidR="00EB56D6"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lang w:val="es-ES"/>
        </w:rPr>
        <w:t xml:space="preserve">Travis, D. J., Lizano, E. L., &amp; Mor Barak, M. E. (2016). </w:t>
      </w:r>
      <w:r w:rsidRPr="00AA67B0">
        <w:rPr>
          <w:rFonts w:ascii="Times New Roman" w:eastAsia="Times New Roman" w:hAnsi="Times New Roman" w:cs="Times New Roman"/>
          <w:color w:val="000000" w:themeColor="text1"/>
          <w:sz w:val="24"/>
          <w:szCs w:val="24"/>
        </w:rPr>
        <w:t>“I</w:t>
      </w:r>
      <w:r w:rsidR="000F5B1B"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m So Stressed!</w:t>
      </w:r>
      <w:r w:rsidR="000F5B1B" w:rsidRPr="00AA67B0">
        <w:rPr>
          <w:rFonts w:ascii="Times New Roman" w:eastAsia="Times New Roman" w:hAnsi="Times New Roman" w:cs="Times New Roman"/>
          <w:color w:val="000000" w:themeColor="text1"/>
          <w:sz w:val="24"/>
          <w:szCs w:val="24"/>
        </w:rPr>
        <w:t>”</w:t>
      </w:r>
      <w:r w:rsidRPr="00AA67B0">
        <w:rPr>
          <w:rFonts w:ascii="Times New Roman" w:eastAsia="Times New Roman" w:hAnsi="Times New Roman" w:cs="Times New Roman"/>
          <w:color w:val="000000" w:themeColor="text1"/>
          <w:sz w:val="24"/>
          <w:szCs w:val="24"/>
        </w:rPr>
        <w:t xml:space="preserve">: A </w:t>
      </w:r>
      <w:r w:rsidR="00AE7C1F" w:rsidRPr="00AA67B0">
        <w:rPr>
          <w:rFonts w:ascii="Times New Roman" w:eastAsia="Times New Roman" w:hAnsi="Times New Roman" w:cs="Times New Roman"/>
          <w:color w:val="000000" w:themeColor="text1"/>
          <w:sz w:val="24"/>
          <w:szCs w:val="24"/>
        </w:rPr>
        <w:t>longitudinal model of stress, burnout and engagement among social workers in child welfare settings</w:t>
      </w:r>
      <w:r w:rsidRPr="00AA67B0">
        <w:rPr>
          <w:rFonts w:ascii="Times New Roman" w:eastAsia="Times New Roman" w:hAnsi="Times New Roman" w:cs="Times New Roman"/>
          <w:color w:val="000000" w:themeColor="text1"/>
          <w:sz w:val="24"/>
          <w:szCs w:val="24"/>
        </w:rPr>
        <w:t xml:space="preserve">. </w:t>
      </w:r>
      <w:r w:rsidRPr="00AA67B0">
        <w:rPr>
          <w:rFonts w:ascii="Times New Roman" w:eastAsia="Times New Roman" w:hAnsi="Times New Roman" w:cs="Times New Roman"/>
          <w:i/>
          <w:color w:val="000000" w:themeColor="text1"/>
          <w:sz w:val="24"/>
          <w:szCs w:val="24"/>
        </w:rPr>
        <w:t>British Journal of Social Work, 46</w:t>
      </w:r>
      <w:r w:rsidRPr="00AA67B0">
        <w:rPr>
          <w:rFonts w:ascii="Times New Roman" w:eastAsia="Times New Roman" w:hAnsi="Times New Roman" w:cs="Times New Roman"/>
          <w:color w:val="000000" w:themeColor="text1"/>
          <w:sz w:val="24"/>
          <w:szCs w:val="24"/>
        </w:rPr>
        <w:t xml:space="preserve">(4), 1076–1095. </w:t>
      </w:r>
      <w:hyperlink r:id="rId49">
        <w:r w:rsidRPr="00AA67B0">
          <w:rPr>
            <w:rFonts w:ascii="Times New Roman" w:eastAsia="Times New Roman" w:hAnsi="Times New Roman" w:cs="Times New Roman"/>
            <w:color w:val="000000" w:themeColor="text1"/>
            <w:sz w:val="24"/>
            <w:szCs w:val="24"/>
            <w:u w:val="single"/>
          </w:rPr>
          <w:t>https://doi.org/10.1093/bjsw/bct205</w:t>
        </w:r>
      </w:hyperlink>
      <w:r w:rsidRPr="00AA67B0">
        <w:rPr>
          <w:rFonts w:ascii="Times New Roman" w:eastAsia="Times New Roman" w:hAnsi="Times New Roman" w:cs="Times New Roman"/>
          <w:color w:val="000000" w:themeColor="text1"/>
          <w:sz w:val="24"/>
          <w:szCs w:val="24"/>
        </w:rPr>
        <w:t>.</w:t>
      </w:r>
    </w:p>
    <w:p w14:paraId="33F369B7" w14:textId="2786DB7E" w:rsidR="00EB56D6" w:rsidRPr="00AA67B0" w:rsidRDefault="004D1F5E">
      <w:pPr>
        <w:ind w:left="709" w:hanging="709"/>
        <w:rPr>
          <w:rFonts w:ascii="TimesNewRomanPS" w:hAnsi="TimesNewRomanPS" w:cs="TimesNewRomanPS"/>
          <w:color w:val="000000" w:themeColor="text1"/>
          <w:sz w:val="24"/>
          <w:szCs w:val="24"/>
          <w:lang w:val="es-ES"/>
        </w:rPr>
      </w:pPr>
      <w:r w:rsidRPr="00AA67B0">
        <w:rPr>
          <w:rFonts w:ascii="Times New Roman" w:eastAsia="Times New Roman" w:hAnsi="Times New Roman" w:cs="Times New Roman"/>
          <w:color w:val="000000" w:themeColor="text1"/>
          <w:sz w:val="24"/>
          <w:szCs w:val="24"/>
          <w:lang w:val="es-ES"/>
        </w:rPr>
        <w:t>Viscarret, J., Ballestero, A., Idareta, F., &amp; Úriz, M. J.</w:t>
      </w:r>
      <w:r w:rsidR="00DD3384" w:rsidRPr="00AA67B0">
        <w:rPr>
          <w:rFonts w:ascii="Times New Roman" w:eastAsia="Times New Roman" w:hAnsi="Times New Roman" w:cs="Times New Roman"/>
          <w:color w:val="000000" w:themeColor="text1"/>
          <w:sz w:val="24"/>
          <w:szCs w:val="24"/>
          <w:lang w:val="es-ES"/>
        </w:rPr>
        <w:t xml:space="preserve"> </w:t>
      </w:r>
      <w:r w:rsidRPr="00AA67B0">
        <w:rPr>
          <w:rFonts w:ascii="Times New Roman" w:eastAsia="Times New Roman" w:hAnsi="Times New Roman" w:cs="Times New Roman"/>
          <w:color w:val="000000" w:themeColor="text1"/>
          <w:sz w:val="24"/>
          <w:szCs w:val="24"/>
          <w:lang w:val="es-ES"/>
        </w:rPr>
        <w:t xml:space="preserve">(2016). Tipologías actuales de los trabajadores sociales en España. </w:t>
      </w:r>
      <w:r w:rsidRPr="00AA67B0">
        <w:rPr>
          <w:rFonts w:ascii="Times New Roman" w:eastAsia="Times New Roman" w:hAnsi="Times New Roman" w:cs="Times New Roman"/>
          <w:i/>
          <w:color w:val="000000" w:themeColor="text1"/>
          <w:sz w:val="24"/>
          <w:szCs w:val="24"/>
          <w:lang w:val="es-ES"/>
        </w:rPr>
        <w:t>Cuadernos de Trabajo Social, 29</w:t>
      </w:r>
      <w:r w:rsidRPr="00AA67B0">
        <w:rPr>
          <w:rFonts w:ascii="Times New Roman" w:eastAsia="Times New Roman" w:hAnsi="Times New Roman" w:cs="Times New Roman"/>
          <w:color w:val="000000" w:themeColor="text1"/>
          <w:sz w:val="24"/>
          <w:szCs w:val="24"/>
          <w:lang w:val="es-ES"/>
        </w:rPr>
        <w:t>(2), 239–262.</w:t>
      </w:r>
      <w:r w:rsidR="00EB05B0" w:rsidRPr="00AA67B0">
        <w:rPr>
          <w:rFonts w:ascii="Times New Roman" w:eastAsia="Times New Roman" w:hAnsi="Times New Roman" w:cs="Times New Roman"/>
          <w:color w:val="000000" w:themeColor="text1"/>
          <w:sz w:val="24"/>
          <w:szCs w:val="24"/>
          <w:lang w:val="es-ES"/>
        </w:rPr>
        <w:t xml:space="preserve"> </w:t>
      </w:r>
      <w:hyperlink r:id="rId50" w:history="1">
        <w:r w:rsidR="00522278" w:rsidRPr="00AA67B0">
          <w:rPr>
            <w:rStyle w:val="Hipervnculo"/>
            <w:rFonts w:ascii="TimesNewRomanPS" w:hAnsi="TimesNewRomanPS" w:cs="TimesNewRomanPS"/>
            <w:color w:val="000000" w:themeColor="text1"/>
            <w:sz w:val="24"/>
            <w:szCs w:val="24"/>
            <w:lang w:val="es-ES"/>
          </w:rPr>
          <w:t>http://dx.doi.org/10.5209/CUTS.51126</w:t>
        </w:r>
      </w:hyperlink>
      <w:r w:rsidR="00522278" w:rsidRPr="00AA67B0">
        <w:rPr>
          <w:rFonts w:ascii="TimesNewRomanPS" w:hAnsi="TimesNewRomanPS" w:cs="TimesNewRomanPS"/>
          <w:color w:val="000000" w:themeColor="text1"/>
          <w:sz w:val="24"/>
          <w:szCs w:val="24"/>
          <w:lang w:val="es-ES"/>
        </w:rPr>
        <w:t>.</w:t>
      </w:r>
    </w:p>
    <w:p w14:paraId="1C2B5A01" w14:textId="7D41C450" w:rsidR="00EB56D6"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lang w:val="es-ES"/>
        </w:rPr>
        <w:t xml:space="preserve">Webb, C. M., &amp; Carpenter, J. (2012). </w:t>
      </w:r>
      <w:r w:rsidRPr="00AA67B0">
        <w:rPr>
          <w:rFonts w:ascii="Times New Roman" w:eastAsia="Times New Roman" w:hAnsi="Times New Roman" w:cs="Times New Roman"/>
          <w:color w:val="000000" w:themeColor="text1"/>
          <w:sz w:val="24"/>
          <w:szCs w:val="24"/>
        </w:rPr>
        <w:t xml:space="preserve">What </w:t>
      </w:r>
      <w:r w:rsidR="00AE7C1F" w:rsidRPr="00AA67B0">
        <w:rPr>
          <w:rFonts w:ascii="Times New Roman" w:eastAsia="Times New Roman" w:hAnsi="Times New Roman" w:cs="Times New Roman"/>
          <w:color w:val="000000" w:themeColor="text1"/>
          <w:sz w:val="24"/>
          <w:szCs w:val="24"/>
        </w:rPr>
        <w:t>can be done to promote the retention of social workers</w:t>
      </w:r>
      <w:r w:rsidRPr="00AA67B0">
        <w:rPr>
          <w:rFonts w:ascii="Times New Roman" w:eastAsia="Times New Roman" w:hAnsi="Times New Roman" w:cs="Times New Roman"/>
          <w:color w:val="000000" w:themeColor="text1"/>
          <w:sz w:val="24"/>
          <w:szCs w:val="24"/>
        </w:rPr>
        <w:t xml:space="preserve">? A </w:t>
      </w:r>
      <w:r w:rsidR="00AE7C1F" w:rsidRPr="00AA67B0">
        <w:rPr>
          <w:rFonts w:ascii="Times New Roman" w:eastAsia="Times New Roman" w:hAnsi="Times New Roman" w:cs="Times New Roman"/>
          <w:color w:val="000000" w:themeColor="text1"/>
          <w:sz w:val="24"/>
          <w:szCs w:val="24"/>
        </w:rPr>
        <w:t>systematic review of interventions</w:t>
      </w:r>
      <w:r w:rsidRPr="00AA67B0">
        <w:rPr>
          <w:rFonts w:ascii="Times New Roman" w:eastAsia="Times New Roman" w:hAnsi="Times New Roman" w:cs="Times New Roman"/>
          <w:color w:val="000000" w:themeColor="text1"/>
          <w:sz w:val="24"/>
          <w:szCs w:val="24"/>
        </w:rPr>
        <w:t xml:space="preserve">. </w:t>
      </w:r>
      <w:r w:rsidRPr="00AA67B0">
        <w:rPr>
          <w:rFonts w:ascii="Times New Roman" w:eastAsia="Times New Roman" w:hAnsi="Times New Roman" w:cs="Times New Roman"/>
          <w:i/>
          <w:color w:val="000000" w:themeColor="text1"/>
          <w:sz w:val="24"/>
          <w:szCs w:val="24"/>
        </w:rPr>
        <w:t>The British Journal of Social Work, 42</w:t>
      </w:r>
      <w:r w:rsidRPr="00AA67B0">
        <w:rPr>
          <w:rFonts w:ascii="Times New Roman" w:eastAsia="Times New Roman" w:hAnsi="Times New Roman" w:cs="Times New Roman"/>
          <w:color w:val="000000" w:themeColor="text1"/>
          <w:sz w:val="24"/>
          <w:szCs w:val="24"/>
        </w:rPr>
        <w:t xml:space="preserve">(7), 1235–1255. Retrieved from </w:t>
      </w:r>
      <w:hyperlink r:id="rId51">
        <w:r w:rsidRPr="00AA67B0">
          <w:rPr>
            <w:rFonts w:ascii="Times New Roman" w:eastAsia="Times New Roman" w:hAnsi="Times New Roman" w:cs="Times New Roman"/>
            <w:color w:val="000000" w:themeColor="text1"/>
            <w:sz w:val="24"/>
            <w:szCs w:val="24"/>
            <w:u w:val="single"/>
          </w:rPr>
          <w:t>http://dx.doi.org/10.1093/bjsw/bcr144</w:t>
        </w:r>
      </w:hyperlink>
      <w:r w:rsidRPr="00AA67B0">
        <w:rPr>
          <w:rFonts w:ascii="Times New Roman" w:eastAsia="Times New Roman" w:hAnsi="Times New Roman" w:cs="Times New Roman"/>
          <w:color w:val="000000" w:themeColor="text1"/>
          <w:sz w:val="24"/>
          <w:szCs w:val="24"/>
        </w:rPr>
        <w:t>.</w:t>
      </w:r>
    </w:p>
    <w:p w14:paraId="46289C5C" w14:textId="77777777" w:rsidR="00EB56D6" w:rsidRPr="00AA67B0" w:rsidRDefault="004D1F5E">
      <w:pPr>
        <w:ind w:left="709" w:hanging="709"/>
        <w:rPr>
          <w:rFonts w:ascii="Times New Roman" w:eastAsia="Times New Roman" w:hAnsi="Times New Roman" w:cs="Times New Roman"/>
          <w:color w:val="000000" w:themeColor="text1"/>
          <w:sz w:val="24"/>
          <w:szCs w:val="24"/>
        </w:rPr>
      </w:pPr>
      <w:r w:rsidRPr="00AA67B0">
        <w:rPr>
          <w:rFonts w:ascii="Times New Roman" w:eastAsia="Times New Roman" w:hAnsi="Times New Roman" w:cs="Times New Roman"/>
          <w:color w:val="000000" w:themeColor="text1"/>
          <w:sz w:val="24"/>
          <w:szCs w:val="24"/>
        </w:rPr>
        <w:t xml:space="preserve">Williams, C. A. (1989). Empathy and burnout in male and female helping professionals. </w:t>
      </w:r>
      <w:r w:rsidRPr="00AA67B0">
        <w:rPr>
          <w:rFonts w:ascii="Times New Roman" w:eastAsia="Times New Roman" w:hAnsi="Times New Roman" w:cs="Times New Roman"/>
          <w:i/>
          <w:color w:val="000000" w:themeColor="text1"/>
          <w:sz w:val="24"/>
          <w:szCs w:val="24"/>
        </w:rPr>
        <w:t>Research in Nursing &amp; Health, 12</w:t>
      </w:r>
      <w:r w:rsidRPr="00AA67B0">
        <w:rPr>
          <w:rFonts w:ascii="Times New Roman" w:eastAsia="Times New Roman" w:hAnsi="Times New Roman" w:cs="Times New Roman"/>
          <w:color w:val="000000" w:themeColor="text1"/>
          <w:sz w:val="24"/>
          <w:szCs w:val="24"/>
        </w:rPr>
        <w:t xml:space="preserve">(3), 169–178. </w:t>
      </w:r>
      <w:hyperlink r:id="rId52">
        <w:r w:rsidRPr="00AA67B0">
          <w:rPr>
            <w:rFonts w:ascii="Times New Roman" w:eastAsia="Times New Roman" w:hAnsi="Times New Roman" w:cs="Times New Roman"/>
            <w:color w:val="000000" w:themeColor="text1"/>
            <w:sz w:val="24"/>
            <w:szCs w:val="24"/>
            <w:u w:val="single"/>
          </w:rPr>
          <w:t>https://doi.org/10.1002/nur.4770120307</w:t>
        </w:r>
      </w:hyperlink>
      <w:r w:rsidRPr="00AA67B0">
        <w:rPr>
          <w:rFonts w:ascii="Times New Roman" w:eastAsia="Times New Roman" w:hAnsi="Times New Roman" w:cs="Times New Roman"/>
          <w:color w:val="000000" w:themeColor="text1"/>
          <w:sz w:val="24"/>
          <w:szCs w:val="24"/>
        </w:rPr>
        <w:t>.</w:t>
      </w:r>
    </w:p>
    <w:p w14:paraId="5C689ACD" w14:textId="1861F547" w:rsidR="0077641D" w:rsidRPr="00AA67B0" w:rsidRDefault="0077641D">
      <w:pPr>
        <w:ind w:left="709" w:hanging="709"/>
        <w:rPr>
          <w:rFonts w:ascii="Times New Roman" w:eastAsia="Times New Roman" w:hAnsi="Times New Roman" w:cs="Times New Roman"/>
          <w:color w:val="000000" w:themeColor="text1"/>
          <w:sz w:val="24"/>
          <w:szCs w:val="24"/>
          <w:lang w:val="en-US"/>
        </w:rPr>
      </w:pPr>
      <w:r w:rsidRPr="00AA67B0">
        <w:rPr>
          <w:rFonts w:ascii="Times New Roman" w:eastAsia="Times New Roman" w:hAnsi="Times New Roman" w:cs="Times New Roman"/>
          <w:color w:val="000000" w:themeColor="text1"/>
          <w:sz w:val="24"/>
          <w:szCs w:val="24"/>
          <w:lang w:val="en-US"/>
        </w:rPr>
        <w:t xml:space="preserve">Ybema, J. F., Evers, M. S., &amp; Van Scheppingen, A. R. (2011). A Longitudinal Study on the Effects of Health Policy in Organizations on Job Satisfaction, Burnout, and Sickness Absence. </w:t>
      </w:r>
      <w:r w:rsidRPr="00AA67B0">
        <w:rPr>
          <w:rFonts w:ascii="Times New Roman" w:eastAsia="Times New Roman" w:hAnsi="Times New Roman" w:cs="Times New Roman"/>
          <w:i/>
          <w:color w:val="000000" w:themeColor="text1"/>
          <w:sz w:val="24"/>
          <w:szCs w:val="24"/>
          <w:lang w:val="en-US"/>
        </w:rPr>
        <w:t>Journal of Occupational and Environmental Medicine</w:t>
      </w:r>
      <w:r w:rsidRPr="00AA67B0">
        <w:rPr>
          <w:rFonts w:ascii="Times New Roman" w:eastAsia="Times New Roman" w:hAnsi="Times New Roman" w:cs="Times New Roman"/>
          <w:color w:val="000000" w:themeColor="text1"/>
          <w:sz w:val="24"/>
          <w:szCs w:val="24"/>
          <w:lang w:val="en-US"/>
        </w:rPr>
        <w:t xml:space="preserve">, 53(11), 1251–1257. </w:t>
      </w:r>
      <w:hyperlink r:id="rId53" w:history="1">
        <w:r w:rsidRPr="00AA67B0">
          <w:rPr>
            <w:rStyle w:val="Hipervnculo"/>
            <w:rFonts w:ascii="Times New Roman" w:eastAsia="Times New Roman" w:hAnsi="Times New Roman" w:cs="Times New Roman"/>
            <w:color w:val="000000" w:themeColor="text1"/>
            <w:sz w:val="24"/>
            <w:szCs w:val="24"/>
            <w:lang w:val="en-US"/>
          </w:rPr>
          <w:t>https://doi:10.1097/jom.0b013e318234e2b0</w:t>
        </w:r>
      </w:hyperlink>
      <w:r w:rsidRPr="00AA67B0">
        <w:rPr>
          <w:rFonts w:ascii="Times New Roman" w:eastAsia="Times New Roman" w:hAnsi="Times New Roman" w:cs="Times New Roman"/>
          <w:color w:val="000000" w:themeColor="text1"/>
          <w:sz w:val="24"/>
          <w:szCs w:val="24"/>
          <w:lang w:val="en-US"/>
        </w:rPr>
        <w:t>.</w:t>
      </w:r>
    </w:p>
    <w:p w14:paraId="5EF7489C" w14:textId="5FE8E1E1" w:rsidR="00EB56D6" w:rsidRPr="00AA67B0" w:rsidRDefault="004D1F5E">
      <w:pPr>
        <w:ind w:left="709" w:hanging="709"/>
        <w:rPr>
          <w:rFonts w:ascii="Times New Roman" w:eastAsia="Times New Roman" w:hAnsi="Times New Roman" w:cs="Times New Roman"/>
          <w:color w:val="000000" w:themeColor="text1"/>
          <w:sz w:val="24"/>
          <w:szCs w:val="24"/>
          <w:lang w:val="es-ES"/>
        </w:rPr>
      </w:pPr>
      <w:r w:rsidRPr="00AA67B0">
        <w:rPr>
          <w:rFonts w:ascii="Times New Roman" w:eastAsia="Times New Roman" w:hAnsi="Times New Roman" w:cs="Times New Roman"/>
          <w:color w:val="000000" w:themeColor="text1"/>
          <w:sz w:val="24"/>
          <w:szCs w:val="24"/>
          <w:lang w:val="en-US"/>
        </w:rPr>
        <w:t>Zamanillo, T</w:t>
      </w:r>
      <w:r w:rsidR="00AE7C1F" w:rsidRPr="00AA67B0">
        <w:rPr>
          <w:rFonts w:ascii="Times New Roman" w:eastAsia="Times New Roman" w:hAnsi="Times New Roman" w:cs="Times New Roman"/>
          <w:color w:val="000000" w:themeColor="text1"/>
          <w:sz w:val="24"/>
          <w:szCs w:val="24"/>
          <w:lang w:val="en-US"/>
        </w:rPr>
        <w:t>.</w:t>
      </w:r>
      <w:r w:rsidRPr="00AA67B0">
        <w:rPr>
          <w:rFonts w:ascii="Times New Roman" w:eastAsia="Times New Roman" w:hAnsi="Times New Roman" w:cs="Times New Roman"/>
          <w:color w:val="000000" w:themeColor="text1"/>
          <w:sz w:val="24"/>
          <w:szCs w:val="24"/>
          <w:lang w:val="en-US"/>
        </w:rPr>
        <w:t xml:space="preserve"> (1999)</w:t>
      </w:r>
      <w:r w:rsidR="00AE7C1F" w:rsidRPr="00AA67B0">
        <w:rPr>
          <w:rFonts w:ascii="Times New Roman" w:eastAsia="Times New Roman" w:hAnsi="Times New Roman" w:cs="Times New Roman"/>
          <w:color w:val="000000" w:themeColor="text1"/>
          <w:sz w:val="24"/>
          <w:szCs w:val="24"/>
          <w:lang w:val="en-US"/>
        </w:rPr>
        <w:t>.</w:t>
      </w:r>
      <w:r w:rsidRPr="00AA67B0">
        <w:rPr>
          <w:rFonts w:ascii="Times New Roman" w:eastAsia="Times New Roman" w:hAnsi="Times New Roman" w:cs="Times New Roman"/>
          <w:color w:val="000000" w:themeColor="text1"/>
          <w:sz w:val="24"/>
          <w:szCs w:val="24"/>
          <w:lang w:val="en-US"/>
        </w:rPr>
        <w:t xml:space="preserve"> </w:t>
      </w:r>
      <w:r w:rsidRPr="00AA67B0">
        <w:rPr>
          <w:rFonts w:ascii="Times New Roman" w:eastAsia="Times New Roman" w:hAnsi="Times New Roman" w:cs="Times New Roman"/>
          <w:color w:val="000000" w:themeColor="text1"/>
          <w:sz w:val="24"/>
          <w:szCs w:val="24"/>
          <w:lang w:val="es-ES"/>
        </w:rPr>
        <w:t xml:space="preserve">Apuntes sobre el objeto en Trabajo Social. </w:t>
      </w:r>
      <w:r w:rsidRPr="00AA67B0">
        <w:rPr>
          <w:rFonts w:ascii="Times New Roman" w:eastAsia="Times New Roman" w:hAnsi="Times New Roman" w:cs="Times New Roman"/>
          <w:i/>
          <w:color w:val="000000" w:themeColor="text1"/>
          <w:sz w:val="24"/>
          <w:szCs w:val="24"/>
          <w:lang w:val="es-ES"/>
        </w:rPr>
        <w:t>Cuadernos de Trabajo Social, 12</w:t>
      </w:r>
      <w:r w:rsidRPr="00AA67B0">
        <w:rPr>
          <w:rFonts w:ascii="Times New Roman" w:eastAsia="Times New Roman" w:hAnsi="Times New Roman" w:cs="Times New Roman"/>
          <w:color w:val="000000" w:themeColor="text1"/>
          <w:sz w:val="24"/>
          <w:szCs w:val="24"/>
          <w:lang w:val="es-ES"/>
        </w:rPr>
        <w:t>, 13</w:t>
      </w:r>
      <w:r w:rsidR="00AE7C1F" w:rsidRPr="00AA67B0">
        <w:rPr>
          <w:rFonts w:ascii="Times New Roman" w:eastAsia="Times New Roman" w:hAnsi="Times New Roman" w:cs="Times New Roman"/>
          <w:color w:val="000000" w:themeColor="text1"/>
          <w:sz w:val="24"/>
          <w:szCs w:val="24"/>
          <w:lang w:val="es-ES"/>
        </w:rPr>
        <w:t>–</w:t>
      </w:r>
      <w:r w:rsidRPr="00AA67B0">
        <w:rPr>
          <w:rFonts w:ascii="Times New Roman" w:eastAsia="Times New Roman" w:hAnsi="Times New Roman" w:cs="Times New Roman"/>
          <w:color w:val="000000" w:themeColor="text1"/>
          <w:sz w:val="24"/>
          <w:szCs w:val="24"/>
          <w:lang w:val="es-ES"/>
        </w:rPr>
        <w:t xml:space="preserve">32. </w:t>
      </w:r>
      <w:r w:rsidR="00EB05B0" w:rsidRPr="00AA67B0">
        <w:rPr>
          <w:rFonts w:ascii="Times New Roman" w:eastAsia="Times New Roman" w:hAnsi="Times New Roman" w:cs="Times New Roman"/>
          <w:color w:val="000000" w:themeColor="text1"/>
          <w:sz w:val="24"/>
          <w:szCs w:val="24"/>
          <w:lang w:val="es-ES"/>
        </w:rPr>
        <w:t xml:space="preserve">Recuperado en </w:t>
      </w:r>
      <w:hyperlink r:id="rId54" w:history="1">
        <w:r w:rsidR="00EB05B0" w:rsidRPr="00AA67B0">
          <w:rPr>
            <w:rStyle w:val="Hipervnculo"/>
            <w:rFonts w:ascii="Times New Roman" w:eastAsia="Times New Roman" w:hAnsi="Times New Roman" w:cs="Times New Roman"/>
            <w:color w:val="000000" w:themeColor="text1"/>
            <w:sz w:val="24"/>
            <w:szCs w:val="24"/>
            <w:lang w:val="es-ES"/>
          </w:rPr>
          <w:t>http://revistas.ucm.es/index.php/CUTS/article/view/CUTS9999110013A</w:t>
        </w:r>
      </w:hyperlink>
      <w:r w:rsidR="00EB05B0" w:rsidRPr="00AA67B0">
        <w:rPr>
          <w:rFonts w:ascii="Times New Roman" w:eastAsia="Times New Roman" w:hAnsi="Times New Roman" w:cs="Times New Roman"/>
          <w:color w:val="000000" w:themeColor="text1"/>
          <w:sz w:val="24"/>
          <w:szCs w:val="24"/>
          <w:lang w:val="es-ES"/>
        </w:rPr>
        <w:t>.</w:t>
      </w:r>
    </w:p>
    <w:p w14:paraId="31BBF7E7" w14:textId="77777777" w:rsidR="00EB05B0" w:rsidRPr="00AA67B0" w:rsidRDefault="00EB05B0">
      <w:pPr>
        <w:ind w:left="709" w:hanging="709"/>
        <w:rPr>
          <w:rFonts w:ascii="Times New Roman" w:eastAsia="Times New Roman" w:hAnsi="Times New Roman" w:cs="Times New Roman"/>
          <w:color w:val="000000" w:themeColor="text1"/>
          <w:sz w:val="24"/>
          <w:szCs w:val="24"/>
          <w:lang w:val="es-ES"/>
        </w:rPr>
      </w:pPr>
    </w:p>
    <w:p w14:paraId="16D8C1AB" w14:textId="77777777" w:rsidR="00EB56D6" w:rsidRPr="00AA67B0" w:rsidRDefault="00EB56D6">
      <w:pPr>
        <w:ind w:left="709" w:hanging="709"/>
        <w:rPr>
          <w:rFonts w:ascii="Times New Roman" w:eastAsia="Times New Roman" w:hAnsi="Times New Roman" w:cs="Times New Roman"/>
          <w:color w:val="000000" w:themeColor="text1"/>
          <w:sz w:val="24"/>
          <w:szCs w:val="24"/>
          <w:lang w:val="es-ES"/>
        </w:rPr>
      </w:pPr>
    </w:p>
    <w:p w14:paraId="148A6F53" w14:textId="77777777" w:rsidR="00EB56D6" w:rsidRPr="00AA67B0" w:rsidRDefault="00EB56D6">
      <w:pPr>
        <w:ind w:left="709" w:hanging="709"/>
        <w:rPr>
          <w:rFonts w:ascii="Times New Roman" w:eastAsia="Times New Roman" w:hAnsi="Times New Roman" w:cs="Times New Roman"/>
          <w:color w:val="000000" w:themeColor="text1"/>
          <w:sz w:val="24"/>
          <w:szCs w:val="24"/>
          <w:lang w:val="es-ES"/>
        </w:rPr>
      </w:pPr>
    </w:p>
    <w:p w14:paraId="1DDD9174" w14:textId="77777777" w:rsidR="00EB56D6" w:rsidRPr="00AA67B0" w:rsidRDefault="00EB56D6">
      <w:pPr>
        <w:ind w:left="709" w:hanging="709"/>
        <w:rPr>
          <w:rFonts w:ascii="Times New Roman" w:eastAsia="Times New Roman" w:hAnsi="Times New Roman" w:cs="Times New Roman"/>
          <w:color w:val="000000" w:themeColor="text1"/>
          <w:sz w:val="24"/>
          <w:szCs w:val="24"/>
          <w:lang w:val="es-ES"/>
        </w:rPr>
      </w:pPr>
    </w:p>
    <w:p w14:paraId="5821E1DC" w14:textId="77777777" w:rsidR="00EB56D6" w:rsidRPr="00AA67B0" w:rsidRDefault="00EB56D6">
      <w:pPr>
        <w:ind w:left="709" w:hanging="709"/>
        <w:rPr>
          <w:rFonts w:ascii="Times New Roman" w:eastAsia="Times New Roman" w:hAnsi="Times New Roman" w:cs="Times New Roman"/>
          <w:color w:val="000000" w:themeColor="text1"/>
          <w:sz w:val="24"/>
          <w:szCs w:val="24"/>
          <w:lang w:val="es-ES"/>
        </w:rPr>
      </w:pPr>
    </w:p>
    <w:p w14:paraId="26E2A325" w14:textId="77777777" w:rsidR="00EB56D6" w:rsidRPr="00AA67B0" w:rsidRDefault="00EB56D6">
      <w:pPr>
        <w:ind w:left="709" w:hanging="709"/>
        <w:rPr>
          <w:rFonts w:ascii="Times New Roman" w:eastAsia="Times New Roman" w:hAnsi="Times New Roman" w:cs="Times New Roman"/>
          <w:color w:val="000000" w:themeColor="text1"/>
          <w:sz w:val="24"/>
          <w:szCs w:val="24"/>
          <w:lang w:val="es-ES"/>
        </w:rPr>
      </w:pPr>
    </w:p>
    <w:p w14:paraId="5F997D55" w14:textId="77777777" w:rsidR="00EB56D6" w:rsidRPr="00AA67B0" w:rsidRDefault="00EB56D6">
      <w:pPr>
        <w:ind w:left="709" w:hanging="709"/>
        <w:rPr>
          <w:rFonts w:ascii="Times New Roman" w:eastAsia="Times New Roman" w:hAnsi="Times New Roman" w:cs="Times New Roman"/>
          <w:color w:val="000000" w:themeColor="text1"/>
          <w:sz w:val="24"/>
          <w:szCs w:val="24"/>
          <w:lang w:val="es-ES"/>
        </w:rPr>
      </w:pPr>
    </w:p>
    <w:p w14:paraId="1E6A1D3E" w14:textId="77777777" w:rsidR="00EB56D6" w:rsidRPr="00AA67B0" w:rsidRDefault="00EB56D6">
      <w:pPr>
        <w:ind w:left="709" w:hanging="709"/>
        <w:rPr>
          <w:color w:val="000000" w:themeColor="text1"/>
          <w:lang w:val="es-ES"/>
        </w:rPr>
      </w:pPr>
    </w:p>
    <w:p w14:paraId="67F0948F" w14:textId="77777777" w:rsidR="00EB56D6" w:rsidRPr="00AA67B0" w:rsidRDefault="00EB56D6">
      <w:pPr>
        <w:rPr>
          <w:color w:val="000000" w:themeColor="text1"/>
          <w:lang w:val="es-ES"/>
        </w:rPr>
      </w:pPr>
    </w:p>
    <w:p w14:paraId="13802544" w14:textId="77777777" w:rsidR="00EB56D6" w:rsidRPr="00AA67B0" w:rsidRDefault="00EB56D6">
      <w:pPr>
        <w:spacing w:after="0" w:line="360" w:lineRule="auto"/>
        <w:rPr>
          <w:rFonts w:ascii="Times New Roman" w:eastAsia="Times New Roman" w:hAnsi="Times New Roman" w:cs="Times New Roman"/>
          <w:color w:val="000000" w:themeColor="text1"/>
          <w:sz w:val="24"/>
          <w:szCs w:val="24"/>
          <w:lang w:val="es-ES"/>
        </w:rPr>
      </w:pPr>
    </w:p>
    <w:p w14:paraId="36226A16" w14:textId="77777777" w:rsidR="00EB56D6" w:rsidRPr="00AA67B0" w:rsidRDefault="00EB56D6">
      <w:pPr>
        <w:spacing w:after="0" w:line="360" w:lineRule="auto"/>
        <w:rPr>
          <w:rFonts w:ascii="Times New Roman" w:eastAsia="Times New Roman" w:hAnsi="Times New Roman" w:cs="Times New Roman"/>
          <w:color w:val="000000" w:themeColor="text1"/>
          <w:sz w:val="24"/>
          <w:szCs w:val="24"/>
          <w:lang w:val="es-ES"/>
        </w:rPr>
      </w:pPr>
    </w:p>
    <w:p w14:paraId="614C934D" w14:textId="77777777" w:rsidR="00EB56D6" w:rsidRPr="00AA67B0" w:rsidRDefault="00EB56D6">
      <w:pPr>
        <w:spacing w:after="0" w:line="360" w:lineRule="auto"/>
        <w:rPr>
          <w:rFonts w:ascii="Times New Roman" w:eastAsia="Times New Roman" w:hAnsi="Times New Roman" w:cs="Times New Roman"/>
          <w:color w:val="000000" w:themeColor="text1"/>
          <w:sz w:val="24"/>
          <w:szCs w:val="24"/>
          <w:lang w:val="es-ES"/>
        </w:rPr>
      </w:pPr>
    </w:p>
    <w:p w14:paraId="21880318" w14:textId="77777777" w:rsidR="00AA67B0" w:rsidRPr="00AA67B0" w:rsidRDefault="00AA67B0">
      <w:pPr>
        <w:spacing w:after="0" w:line="360" w:lineRule="auto"/>
        <w:rPr>
          <w:rFonts w:ascii="Times New Roman" w:eastAsia="Times New Roman" w:hAnsi="Times New Roman" w:cs="Times New Roman"/>
          <w:color w:val="000000" w:themeColor="text1"/>
          <w:sz w:val="24"/>
          <w:szCs w:val="24"/>
          <w:lang w:val="es-ES"/>
        </w:rPr>
      </w:pPr>
    </w:p>
    <w:sectPr w:rsidR="00AA67B0" w:rsidRPr="00AA67B0" w:rsidSect="00570005">
      <w:pgSz w:w="11906" w:h="16838"/>
      <w:pgMar w:top="1134" w:right="1134"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81FAE" w14:textId="77777777" w:rsidR="00A95CF6" w:rsidRDefault="00A95CF6">
      <w:pPr>
        <w:spacing w:after="0" w:line="240" w:lineRule="auto"/>
      </w:pPr>
      <w:r>
        <w:separator/>
      </w:r>
    </w:p>
  </w:endnote>
  <w:endnote w:type="continuationSeparator" w:id="0">
    <w:p w14:paraId="725E5B98" w14:textId="77777777" w:rsidR="00A95CF6" w:rsidRDefault="00A95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ungsuh">
    <w:panose1 w:val="02030600000101010101"/>
    <w:charset w:val="81"/>
    <w:family w:val="roman"/>
    <w:pitch w:val="variable"/>
    <w:sig w:usb0="B00002AF" w:usb1="69D77CFB" w:usb2="00000030" w:usb3="00000000" w:csb0="0008009F" w:csb1="00000000"/>
  </w:font>
  <w:font w:name="Belleza">
    <w:altName w:val="Times New Roman"/>
    <w:panose1 w:val="020B0604020202020204"/>
    <w:charset w:val="00"/>
    <w:family w:val="auto"/>
    <w:pitch w:val="default"/>
  </w:font>
  <w:font w:name="Courier">
    <w:altName w:val="Courier New"/>
    <w:panose1 w:val="00000000000000000000"/>
    <w:charset w:val="00"/>
    <w:family w:val="modern"/>
    <w:notTrueType/>
    <w:pitch w:val="fixed"/>
    <w:sig w:usb0="00000003" w:usb1="00000000" w:usb2="00000000" w:usb3="00000000" w:csb0="00000001" w:csb1="00000000"/>
  </w:font>
  <w:font w:name="TimesNewRomanPS">
    <w:altName w:val="Times New Roman"/>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50BF" w14:textId="37CABAC0" w:rsidR="003F763C" w:rsidRDefault="003F763C">
    <w:pPr>
      <w:pBdr>
        <w:top w:val="nil"/>
        <w:left w:val="nil"/>
        <w:bottom w:val="nil"/>
        <w:right w:val="nil"/>
        <w:between w:val="nil"/>
      </w:pBdr>
      <w:tabs>
        <w:tab w:val="center" w:pos="4252"/>
        <w:tab w:val="right" w:pos="8504"/>
      </w:tabs>
      <w:spacing w:after="0" w:line="240" w:lineRule="auto"/>
      <w:jc w:val="right"/>
      <w:rPr>
        <w:rFonts w:ascii="Belleza" w:eastAsia="Belleza" w:hAnsi="Belleza" w:cs="Belleza"/>
        <w:color w:val="000000"/>
        <w:sz w:val="24"/>
        <w:szCs w:val="24"/>
      </w:rPr>
    </w:pPr>
    <w:r>
      <w:rPr>
        <w:rFonts w:ascii="Belleza" w:eastAsia="Belleza" w:hAnsi="Belleza" w:cs="Belleza"/>
        <w:color w:val="000000"/>
        <w:sz w:val="24"/>
        <w:szCs w:val="24"/>
      </w:rPr>
      <w:fldChar w:fldCharType="begin"/>
    </w:r>
    <w:r>
      <w:rPr>
        <w:rFonts w:ascii="Belleza" w:eastAsia="Belleza" w:hAnsi="Belleza" w:cs="Belleza"/>
        <w:color w:val="000000"/>
        <w:sz w:val="24"/>
        <w:szCs w:val="24"/>
      </w:rPr>
      <w:instrText>PAGE</w:instrText>
    </w:r>
    <w:r>
      <w:rPr>
        <w:rFonts w:ascii="Belleza" w:eastAsia="Belleza" w:hAnsi="Belleza" w:cs="Belleza"/>
        <w:color w:val="000000"/>
        <w:sz w:val="24"/>
        <w:szCs w:val="24"/>
      </w:rPr>
      <w:fldChar w:fldCharType="separate"/>
    </w:r>
    <w:r w:rsidR="00D23C33">
      <w:rPr>
        <w:rFonts w:ascii="Belleza" w:eastAsia="Belleza" w:hAnsi="Belleza" w:cs="Belleza"/>
        <w:noProof/>
        <w:color w:val="000000"/>
        <w:sz w:val="24"/>
        <w:szCs w:val="24"/>
      </w:rPr>
      <w:t>1</w:t>
    </w:r>
    <w:r>
      <w:rPr>
        <w:rFonts w:ascii="Belleza" w:eastAsia="Belleza" w:hAnsi="Belleza" w:cs="Belleza"/>
        <w:color w:val="000000"/>
        <w:sz w:val="24"/>
        <w:szCs w:val="24"/>
      </w:rPr>
      <w:fldChar w:fldCharType="end"/>
    </w:r>
  </w:p>
  <w:p w14:paraId="6FAC731F" w14:textId="77777777" w:rsidR="003F763C" w:rsidRDefault="003F763C">
    <w:pPr>
      <w:pBdr>
        <w:top w:val="nil"/>
        <w:left w:val="nil"/>
        <w:bottom w:val="nil"/>
        <w:right w:val="nil"/>
        <w:between w:val="nil"/>
      </w:pBdr>
      <w:tabs>
        <w:tab w:val="center" w:pos="4252"/>
        <w:tab w:val="right" w:pos="8504"/>
      </w:tabs>
      <w:spacing w:after="0" w:line="240" w:lineRule="auto"/>
      <w:rPr>
        <w:rFonts w:ascii="Courier" w:eastAsia="Courier" w:hAnsi="Courier" w:cs="Courie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4F256" w14:textId="77777777" w:rsidR="00A95CF6" w:rsidRDefault="00A95CF6">
      <w:pPr>
        <w:spacing w:after="0" w:line="240" w:lineRule="auto"/>
      </w:pPr>
      <w:r>
        <w:separator/>
      </w:r>
    </w:p>
  </w:footnote>
  <w:footnote w:type="continuationSeparator" w:id="0">
    <w:p w14:paraId="1D45FB64" w14:textId="77777777" w:rsidR="00A95CF6" w:rsidRDefault="00A95C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activeWritingStyle w:appName="MSWord" w:lang="en-GB" w:vendorID="64" w:dllVersion="6" w:nlCheck="1" w:checkStyle="0"/>
  <w:activeWritingStyle w:appName="MSWord" w:lang="es-ES"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0"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D6"/>
    <w:rsid w:val="00005E48"/>
    <w:rsid w:val="0001072E"/>
    <w:rsid w:val="00056D0D"/>
    <w:rsid w:val="000A3C0B"/>
    <w:rsid w:val="000C34A6"/>
    <w:rsid w:val="000E088E"/>
    <w:rsid w:val="000F5B1B"/>
    <w:rsid w:val="00130A58"/>
    <w:rsid w:val="00161006"/>
    <w:rsid w:val="001C2334"/>
    <w:rsid w:val="001C5216"/>
    <w:rsid w:val="001E6CBD"/>
    <w:rsid w:val="00203FDD"/>
    <w:rsid w:val="002227A8"/>
    <w:rsid w:val="00226FAB"/>
    <w:rsid w:val="002362A7"/>
    <w:rsid w:val="002411B3"/>
    <w:rsid w:val="00272AA4"/>
    <w:rsid w:val="002A21D2"/>
    <w:rsid w:val="002C305C"/>
    <w:rsid w:val="002C6339"/>
    <w:rsid w:val="00303049"/>
    <w:rsid w:val="003124D1"/>
    <w:rsid w:val="00320F66"/>
    <w:rsid w:val="00347BD6"/>
    <w:rsid w:val="00354EE0"/>
    <w:rsid w:val="003826B0"/>
    <w:rsid w:val="003B651F"/>
    <w:rsid w:val="003D43B5"/>
    <w:rsid w:val="003E5356"/>
    <w:rsid w:val="003F763C"/>
    <w:rsid w:val="00434495"/>
    <w:rsid w:val="00443F08"/>
    <w:rsid w:val="0045012C"/>
    <w:rsid w:val="004632DA"/>
    <w:rsid w:val="004C0917"/>
    <w:rsid w:val="004C3F5D"/>
    <w:rsid w:val="004D1F5E"/>
    <w:rsid w:val="005012F3"/>
    <w:rsid w:val="0050354A"/>
    <w:rsid w:val="00522278"/>
    <w:rsid w:val="0052738E"/>
    <w:rsid w:val="00535F40"/>
    <w:rsid w:val="00561B07"/>
    <w:rsid w:val="00570005"/>
    <w:rsid w:val="00587CFF"/>
    <w:rsid w:val="00595EF6"/>
    <w:rsid w:val="005B4C3E"/>
    <w:rsid w:val="00602969"/>
    <w:rsid w:val="0060775F"/>
    <w:rsid w:val="00621EC9"/>
    <w:rsid w:val="00643CCA"/>
    <w:rsid w:val="006600BE"/>
    <w:rsid w:val="006A59D3"/>
    <w:rsid w:val="006D32FB"/>
    <w:rsid w:val="006F48D3"/>
    <w:rsid w:val="0075016E"/>
    <w:rsid w:val="007511D4"/>
    <w:rsid w:val="0077641D"/>
    <w:rsid w:val="007A3462"/>
    <w:rsid w:val="007A55D8"/>
    <w:rsid w:val="007E2361"/>
    <w:rsid w:val="008322AF"/>
    <w:rsid w:val="00867B74"/>
    <w:rsid w:val="008866ED"/>
    <w:rsid w:val="00893F8B"/>
    <w:rsid w:val="00894C42"/>
    <w:rsid w:val="008B0A11"/>
    <w:rsid w:val="008C40D6"/>
    <w:rsid w:val="008E7051"/>
    <w:rsid w:val="008F016A"/>
    <w:rsid w:val="008F53FB"/>
    <w:rsid w:val="00911A34"/>
    <w:rsid w:val="00926902"/>
    <w:rsid w:val="00933460"/>
    <w:rsid w:val="00965D8B"/>
    <w:rsid w:val="00965E8E"/>
    <w:rsid w:val="00971EB0"/>
    <w:rsid w:val="009C195A"/>
    <w:rsid w:val="009D1F8E"/>
    <w:rsid w:val="009D2A96"/>
    <w:rsid w:val="009E0E71"/>
    <w:rsid w:val="009E4F3A"/>
    <w:rsid w:val="00A919F4"/>
    <w:rsid w:val="00A95CF6"/>
    <w:rsid w:val="00AA67B0"/>
    <w:rsid w:val="00AE7C1F"/>
    <w:rsid w:val="00B007DE"/>
    <w:rsid w:val="00B07A1F"/>
    <w:rsid w:val="00B539C4"/>
    <w:rsid w:val="00B64663"/>
    <w:rsid w:val="00B8081C"/>
    <w:rsid w:val="00BA22FB"/>
    <w:rsid w:val="00BA75B8"/>
    <w:rsid w:val="00C038E4"/>
    <w:rsid w:val="00C83439"/>
    <w:rsid w:val="00C84C8C"/>
    <w:rsid w:val="00C86CFF"/>
    <w:rsid w:val="00CE00C6"/>
    <w:rsid w:val="00D11BBB"/>
    <w:rsid w:val="00D23C33"/>
    <w:rsid w:val="00D813B6"/>
    <w:rsid w:val="00D81A5E"/>
    <w:rsid w:val="00DD3384"/>
    <w:rsid w:val="00DE6DD9"/>
    <w:rsid w:val="00E2133A"/>
    <w:rsid w:val="00E738B8"/>
    <w:rsid w:val="00E84511"/>
    <w:rsid w:val="00EB05B0"/>
    <w:rsid w:val="00EB56D6"/>
    <w:rsid w:val="00ED746C"/>
    <w:rsid w:val="00EE1870"/>
    <w:rsid w:val="00EE2F8C"/>
    <w:rsid w:val="00F211B7"/>
    <w:rsid w:val="00F41625"/>
    <w:rsid w:val="00F44F2C"/>
    <w:rsid w:val="00FA276F"/>
    <w:rsid w:val="00FB4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7B05A"/>
  <w15:docId w15:val="{A4704610-937F-B64F-A288-6C9D0082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1"/>
    <w:tblPr>
      <w:tblStyleRowBandSize w:val="1"/>
      <w:tblStyleColBandSize w:val="1"/>
    </w:tblPr>
  </w:style>
  <w:style w:type="table" w:customStyle="1" w:styleId="a3">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Prrafodelista">
    <w:name w:val="List Paragraph"/>
    <w:basedOn w:val="Normal"/>
    <w:uiPriority w:val="34"/>
    <w:qFormat/>
    <w:rsid w:val="009E4F3A"/>
    <w:pPr>
      <w:ind w:left="720"/>
      <w:contextualSpacing/>
    </w:pPr>
    <w:rPr>
      <w:rFonts w:asciiTheme="minorHAnsi" w:eastAsiaTheme="minorHAnsi" w:hAnsiTheme="minorHAnsi" w:cstheme="minorBidi"/>
      <w:lang w:val="es-ES" w:eastAsia="en-US"/>
    </w:rPr>
  </w:style>
  <w:style w:type="character" w:styleId="Refdecomentario">
    <w:name w:val="annotation reference"/>
    <w:basedOn w:val="Fuentedeprrafopredeter"/>
    <w:uiPriority w:val="99"/>
    <w:semiHidden/>
    <w:unhideWhenUsed/>
    <w:rsid w:val="00226FAB"/>
    <w:rPr>
      <w:sz w:val="16"/>
      <w:szCs w:val="16"/>
    </w:rPr>
  </w:style>
  <w:style w:type="paragraph" w:styleId="Textocomentario">
    <w:name w:val="annotation text"/>
    <w:basedOn w:val="Normal"/>
    <w:link w:val="TextocomentarioCar"/>
    <w:uiPriority w:val="99"/>
    <w:semiHidden/>
    <w:unhideWhenUsed/>
    <w:rsid w:val="00226FA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26FAB"/>
    <w:rPr>
      <w:sz w:val="20"/>
      <w:szCs w:val="20"/>
    </w:rPr>
  </w:style>
  <w:style w:type="paragraph" w:styleId="Asuntodelcomentario">
    <w:name w:val="annotation subject"/>
    <w:basedOn w:val="Textocomentario"/>
    <w:next w:val="Textocomentario"/>
    <w:link w:val="AsuntodelcomentarioCar"/>
    <w:uiPriority w:val="99"/>
    <w:semiHidden/>
    <w:unhideWhenUsed/>
    <w:rsid w:val="00226FAB"/>
    <w:rPr>
      <w:b/>
      <w:bCs/>
    </w:rPr>
  </w:style>
  <w:style w:type="character" w:customStyle="1" w:styleId="AsuntodelcomentarioCar">
    <w:name w:val="Asunto del comentario Car"/>
    <w:basedOn w:val="TextocomentarioCar"/>
    <w:link w:val="Asuntodelcomentario"/>
    <w:uiPriority w:val="99"/>
    <w:semiHidden/>
    <w:rsid w:val="00226FAB"/>
    <w:rPr>
      <w:b/>
      <w:bCs/>
      <w:sz w:val="20"/>
      <w:szCs w:val="20"/>
    </w:rPr>
  </w:style>
  <w:style w:type="paragraph" w:styleId="Textodeglobo">
    <w:name w:val="Balloon Text"/>
    <w:basedOn w:val="Normal"/>
    <w:link w:val="TextodegloboCar"/>
    <w:uiPriority w:val="99"/>
    <w:semiHidden/>
    <w:unhideWhenUsed/>
    <w:rsid w:val="00226F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6FAB"/>
    <w:rPr>
      <w:rFonts w:ascii="Segoe UI" w:hAnsi="Segoe UI" w:cs="Segoe UI"/>
      <w:sz w:val="18"/>
      <w:szCs w:val="18"/>
    </w:rPr>
  </w:style>
  <w:style w:type="paragraph" w:styleId="Revisin">
    <w:name w:val="Revision"/>
    <w:hidden/>
    <w:uiPriority w:val="99"/>
    <w:semiHidden/>
    <w:rsid w:val="00BA22FB"/>
    <w:pPr>
      <w:spacing w:after="0" w:line="240" w:lineRule="auto"/>
    </w:pPr>
  </w:style>
  <w:style w:type="character" w:styleId="Hipervnculo">
    <w:name w:val="Hyperlink"/>
    <w:basedOn w:val="Fuentedeprrafopredeter"/>
    <w:uiPriority w:val="99"/>
    <w:unhideWhenUsed/>
    <w:rsid w:val="00535F40"/>
    <w:rPr>
      <w:color w:val="0000FF" w:themeColor="hyperlink"/>
      <w:u w:val="single"/>
    </w:rPr>
  </w:style>
  <w:style w:type="paragraph" w:styleId="Textonotaalfinal">
    <w:name w:val="endnote text"/>
    <w:basedOn w:val="Normal"/>
    <w:link w:val="TextonotaalfinalCar"/>
    <w:uiPriority w:val="99"/>
    <w:semiHidden/>
    <w:unhideWhenUsed/>
    <w:rsid w:val="004C091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C0917"/>
    <w:rPr>
      <w:sz w:val="20"/>
      <w:szCs w:val="20"/>
    </w:rPr>
  </w:style>
  <w:style w:type="character" w:styleId="Refdenotaalfinal">
    <w:name w:val="endnote reference"/>
    <w:basedOn w:val="Fuentedeprrafopredeter"/>
    <w:uiPriority w:val="99"/>
    <w:semiHidden/>
    <w:unhideWhenUsed/>
    <w:rsid w:val="004C0917"/>
    <w:rPr>
      <w:vertAlign w:val="superscript"/>
    </w:rPr>
  </w:style>
  <w:style w:type="character" w:styleId="Hipervnculovisitado">
    <w:name w:val="FollowedHyperlink"/>
    <w:basedOn w:val="Fuentedeprrafopredeter"/>
    <w:uiPriority w:val="99"/>
    <w:semiHidden/>
    <w:unhideWhenUsed/>
    <w:rsid w:val="004C0917"/>
    <w:rPr>
      <w:color w:val="800080" w:themeColor="followedHyperlink"/>
      <w:u w:val="single"/>
    </w:rPr>
  </w:style>
  <w:style w:type="paragraph" w:styleId="NormalWeb">
    <w:name w:val="Normal (Web)"/>
    <w:basedOn w:val="Normal"/>
    <w:uiPriority w:val="99"/>
    <w:semiHidden/>
    <w:unhideWhenUsed/>
    <w:rsid w:val="005B4C3E"/>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character" w:styleId="Textoennegrita">
    <w:name w:val="Strong"/>
    <w:basedOn w:val="Fuentedeprrafopredeter"/>
    <w:uiPriority w:val="22"/>
    <w:qFormat/>
    <w:rsid w:val="005B4C3E"/>
    <w:rPr>
      <w:b/>
      <w:bCs/>
    </w:rPr>
  </w:style>
  <w:style w:type="character" w:styleId="nfasis">
    <w:name w:val="Emphasis"/>
    <w:basedOn w:val="Fuentedeprrafopredeter"/>
    <w:uiPriority w:val="20"/>
    <w:qFormat/>
    <w:rsid w:val="005B4C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hildyouth.2017.02.028" TargetMode="External"/><Relationship Id="rId18" Type="http://schemas.openxmlformats.org/officeDocument/2006/relationships/hyperlink" Target="https://doi.org/10.1007/BF01121154" TargetMode="External"/><Relationship Id="rId26" Type="http://schemas.openxmlformats.org/officeDocument/2006/relationships/hyperlink" Target="https://doi.org/10.1093/sw/29.5.448" TargetMode="External"/><Relationship Id="rId39" Type="http://schemas.openxmlformats.org/officeDocument/2006/relationships/hyperlink" Target="https://doi.org/10.1093/bjsw/bcu084" TargetMode="External"/><Relationship Id="rId21" Type="http://schemas.openxmlformats.org/officeDocument/2006/relationships/hyperlink" Target="http://www.psicothema.com/pdf/319.pdf" TargetMode="External"/><Relationship Id="rId34" Type="http://schemas.openxmlformats.org/officeDocument/2006/relationships/hyperlink" Target="https://doi.org/10.1007/BF00287876" TargetMode="External"/><Relationship Id="rId42" Type="http://schemas.openxmlformats.org/officeDocument/2006/relationships/hyperlink" Target="https://doi.org/10.1300/J147v31n04_08" TargetMode="External"/><Relationship Id="rId47" Type="http://schemas.openxmlformats.org/officeDocument/2006/relationships/hyperlink" Target="https://doi.org/10.1080/02678370601065893" TargetMode="External"/><Relationship Id="rId50" Type="http://schemas.openxmlformats.org/officeDocument/2006/relationships/hyperlink" Target="http://dx.doi.org/10.5209/CUTS.51126" TargetMode="External"/><Relationship Id="rId55" Type="http://schemas.openxmlformats.org/officeDocument/2006/relationships/fontTable" Target="fontTable.xml"/><Relationship Id="rId7" Type="http://schemas.openxmlformats.org/officeDocument/2006/relationships/hyperlink" Target="https://doi.org/10.1177/1468017319837886" TargetMode="External"/><Relationship Id="rId2" Type="http://schemas.openxmlformats.org/officeDocument/2006/relationships/styles" Target="styles.xml"/><Relationship Id="rId16" Type="http://schemas.openxmlformats.org/officeDocument/2006/relationships/hyperlink" Target="https://doi.org/10.1192/bjp.188.1.75" TargetMode="External"/><Relationship Id="rId29" Type="http://schemas.openxmlformats.org/officeDocument/2006/relationships/hyperlink" Target="http://rabida.uhu.es/dspace/handle/10272/191" TargetMode="External"/><Relationship Id="rId11" Type="http://schemas.openxmlformats.org/officeDocument/2006/relationships/hyperlink" Target="https://doi.org/10.1007/s10597-009-9269-5" TargetMode="External"/><Relationship Id="rId24" Type="http://schemas.openxmlformats.org/officeDocument/2006/relationships/hyperlink" Target="http://scielo.isciii.es/pdf/resp/v83n2/original1.pdf" TargetMode="External"/><Relationship Id="rId32" Type="http://schemas.openxmlformats.org/officeDocument/2006/relationships/hyperlink" Target="http://dx.doi.org/10.1016/S0962-1849(98)80022-X" TargetMode="External"/><Relationship Id="rId37" Type="http://schemas.openxmlformats.org/officeDocument/2006/relationships/hyperlink" Target="https://doi.org/341&#8211;352.10.1007/s10488-011-0352-1" TargetMode="External"/><Relationship Id="rId40" Type="http://schemas.openxmlformats.org/officeDocument/2006/relationships/hyperlink" Target="https://doi.org/10.2466/pr0.1995.76.3c.1083" TargetMode="External"/><Relationship Id="rId45" Type="http://schemas.openxmlformats.org/officeDocument/2006/relationships/hyperlink" Target="https://doi.org/10.1093/sw/40.5.638" TargetMode="External"/><Relationship Id="rId53" Type="http://schemas.openxmlformats.org/officeDocument/2006/relationships/hyperlink" Target="https://doi:10.1097/jom.0b013e318234e2b0" TargetMode="External"/><Relationship Id="rId5" Type="http://schemas.openxmlformats.org/officeDocument/2006/relationships/footnotes" Target="footnotes.xml"/><Relationship Id="rId10" Type="http://schemas.openxmlformats.org/officeDocument/2006/relationships/hyperlink" Target="https://doi.org/10.1177/0020872808099732" TargetMode="External"/><Relationship Id="rId19" Type="http://schemas.openxmlformats.org/officeDocument/2006/relationships/hyperlink" Target="https://www.uv.es/seoane/boletin/previos/General.htm" TargetMode="External"/><Relationship Id="rId31" Type="http://schemas.openxmlformats.org/officeDocument/2006/relationships/hyperlink" Target="https://doi.org/10.1146/annurev.publhealth.23.100901.140546" TargetMode="External"/><Relationship Id="rId44" Type="http://schemas.openxmlformats.org/officeDocument/2006/relationships/hyperlink" Target="https://doi.org/10.1093/hsw/16.3.193" TargetMode="External"/><Relationship Id="rId52" Type="http://schemas.openxmlformats.org/officeDocument/2006/relationships/hyperlink" Target="https://doi.org/10.1002/nur.4770120307" TargetMode="External"/><Relationship Id="rId4" Type="http://schemas.openxmlformats.org/officeDocument/2006/relationships/webSettings" Target="webSettings.xml"/><Relationship Id="rId9" Type="http://schemas.openxmlformats.org/officeDocument/2006/relationships/hyperlink" Target="http://orcid.org/0000-0002-7423-5852" TargetMode="External"/><Relationship Id="rId14" Type="http://schemas.openxmlformats.org/officeDocument/2006/relationships/hyperlink" Target="https://doi.org/10.1080/0312407X.2016.1203965" TargetMode="External"/><Relationship Id="rId22" Type="http://schemas.openxmlformats.org/officeDocument/2006/relationships/hyperlink" Target="https://doi.org/10.1177/001316448504500223" TargetMode="External"/><Relationship Id="rId27" Type="http://schemas.openxmlformats.org/officeDocument/2006/relationships/hyperlink" Target="https://psycnet.apa.org/record/1995-41926-001" TargetMode="External"/><Relationship Id="rId30" Type="http://schemas.openxmlformats.org/officeDocument/2006/relationships/hyperlink" Target="http://dx.doi.org/10.1016/j.childyouth.2015.05.005" TargetMode="External"/><Relationship Id="rId35" Type="http://schemas.openxmlformats.org/officeDocument/2006/relationships/hyperlink" Target="https://doi.org/10.1093/bjsw/bct210" TargetMode="External"/><Relationship Id="rId43" Type="http://schemas.openxmlformats.org/officeDocument/2006/relationships/hyperlink" Target="https://doi.org/10.1037/0022-3514.46.4.864" TargetMode="External"/><Relationship Id="rId48" Type="http://schemas.openxmlformats.org/officeDocument/2006/relationships/hyperlink" Target="https://doi.org/10.1002/job.155" TargetMode="External"/><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dx.doi.org/10.1093/bjsw/bcr144" TargetMode="External"/><Relationship Id="rId3" Type="http://schemas.openxmlformats.org/officeDocument/2006/relationships/settings" Target="settings.xml"/><Relationship Id="rId12" Type="http://schemas.openxmlformats.org/officeDocument/2006/relationships/hyperlink" Target="https://doi.org/http://dx.doi.org/10.6018/analesps.33.2.260391" TargetMode="External"/><Relationship Id="rId17" Type="http://schemas.openxmlformats.org/officeDocument/2006/relationships/hyperlink" Target="https://doi.org/10.1080/01488376.2016.1147515" TargetMode="External"/><Relationship Id="rId25" Type="http://schemas.openxmlformats.org/officeDocument/2006/relationships/hyperlink" Target="http://dx.doi.org/10.2466/pr0.1988.63.1.55" TargetMode="External"/><Relationship Id="rId33" Type="http://schemas.openxmlformats.org/officeDocument/2006/relationships/hyperlink" Target="https://doi.org/10.1002/job.4030020205" TargetMode="External"/><Relationship Id="rId38" Type="http://schemas.openxmlformats.org/officeDocument/2006/relationships/hyperlink" Target="https://doi.org/10.1093/sw/38.3.305" TargetMode="External"/><Relationship Id="rId46" Type="http://schemas.openxmlformats.org/officeDocument/2006/relationships/hyperlink" Target="https://doi.org/10.1093/fampra/cmn038" TargetMode="External"/><Relationship Id="rId20" Type="http://schemas.openxmlformats.org/officeDocument/2006/relationships/hyperlink" Target="http://www.scielo.br/pdf/%0D/pe/v7n1/v7n1a01.pdf" TargetMode="External"/><Relationship Id="rId41" Type="http://schemas.openxmlformats.org/officeDocument/2006/relationships/hyperlink" Target="https://doi.org/10.1080/08870440108405527" TargetMode="External"/><Relationship Id="rId54" Type="http://schemas.openxmlformats.org/officeDocument/2006/relationships/hyperlink" Target="http://revistas.ucm.es/index.php/CUTS/article/view/CUTS9999110013A"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10.5218/prts.2012.0013" TargetMode="External"/><Relationship Id="rId23" Type="http://schemas.openxmlformats.org/officeDocument/2006/relationships/hyperlink" Target="https://dialnet.unirioja.es/servlet/articulo?codigo=2571539" TargetMode="External"/><Relationship Id="rId28" Type="http://schemas.openxmlformats.org/officeDocument/2006/relationships/hyperlink" Target="https://doi.org/10.1016/j.childyouth.2010.10.001" TargetMode="External"/><Relationship Id="rId36" Type="http://schemas.openxmlformats.org/officeDocument/2006/relationships/hyperlink" Target="http://dx.doi.org/10.1093/hsw/9.4.274" TargetMode="External"/><Relationship Id="rId49" Type="http://schemas.openxmlformats.org/officeDocument/2006/relationships/hyperlink" Target="https://doi.org/10.1093/bjsw/bct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AF4FE-CDFC-47B1-AD59-C378706F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8273</Words>
  <Characters>46994</Characters>
  <Application>Microsoft Office Word</Application>
  <DocSecurity>0</DocSecurity>
  <Lines>1342</Lines>
  <Paragraphs>673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ROGELIO GOMEZ GARCIA</cp:lastModifiedBy>
  <cp:revision>13</cp:revision>
  <cp:lastPrinted>2019-01-25T11:18:00Z</cp:lastPrinted>
  <dcterms:created xsi:type="dcterms:W3CDTF">2025-12-28T09:14:00Z</dcterms:created>
  <dcterms:modified xsi:type="dcterms:W3CDTF">2026-01-13T13:47:00Z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