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41E2" w14:textId="77777777" w:rsidR="00FC7F99" w:rsidRPr="003A6799" w:rsidRDefault="00FC7F99" w:rsidP="003A6799">
      <w:pPr>
        <w:pStyle w:val="NormalWeb"/>
        <w:spacing w:line="360" w:lineRule="auto"/>
        <w:rPr>
          <w:sz w:val="24"/>
          <w:szCs w:val="24"/>
          <w:lang w:val="es-ES" w:eastAsia="es-ES_tradnl"/>
        </w:rPr>
      </w:pPr>
      <w:proofErr w:type="spellStart"/>
      <w:r w:rsidRPr="003A6799">
        <w:rPr>
          <w:rStyle w:val="Textoennegrita"/>
          <w:sz w:val="24"/>
          <w:szCs w:val="24"/>
        </w:rPr>
        <w:t>UVaDOC</w:t>
      </w:r>
      <w:proofErr w:type="spellEnd"/>
      <w:r w:rsidRPr="003A6799">
        <w:rPr>
          <w:rStyle w:val="Textoennegrita"/>
          <w:sz w:val="24"/>
          <w:szCs w:val="24"/>
        </w:rPr>
        <w:t xml:space="preserve"> Repository Deposit Cover Sheet</w:t>
      </w:r>
    </w:p>
    <w:p w14:paraId="5F87608E" w14:textId="77777777" w:rsidR="00FC7F99" w:rsidRPr="003A6799" w:rsidRDefault="00FC7F99" w:rsidP="003A6799">
      <w:pPr>
        <w:pStyle w:val="NormalWeb"/>
        <w:spacing w:line="360" w:lineRule="auto"/>
        <w:rPr>
          <w:sz w:val="24"/>
          <w:szCs w:val="24"/>
        </w:rPr>
      </w:pPr>
      <w:r w:rsidRPr="003A6799">
        <w:rPr>
          <w:rStyle w:val="Textoennegrita"/>
          <w:sz w:val="24"/>
          <w:szCs w:val="24"/>
        </w:rPr>
        <w:t>Manuscript version:</w:t>
      </w:r>
      <w:r w:rsidRPr="003A6799">
        <w:rPr>
          <w:sz w:val="24"/>
          <w:szCs w:val="24"/>
        </w:rPr>
        <w:t xml:space="preserve"> Author Accepted Manuscript (AAM) / </w:t>
      </w:r>
      <w:proofErr w:type="spellStart"/>
      <w:r w:rsidRPr="003A6799">
        <w:rPr>
          <w:sz w:val="24"/>
          <w:szCs w:val="24"/>
        </w:rPr>
        <w:t>Postprint</w:t>
      </w:r>
      <w:proofErr w:type="spellEnd"/>
      <w:r w:rsidRPr="003A6799">
        <w:rPr>
          <w:sz w:val="24"/>
          <w:szCs w:val="24"/>
        </w:rPr>
        <w:t xml:space="preserve"> </w:t>
      </w:r>
      <w:r w:rsidRPr="003A6799">
        <w:rPr>
          <w:rStyle w:val="nfasis"/>
          <w:sz w:val="24"/>
          <w:szCs w:val="24"/>
        </w:rPr>
        <w:t>(peer reviewed version)</w:t>
      </w:r>
    </w:p>
    <w:p w14:paraId="678FFF2D" w14:textId="77777777" w:rsidR="00FC7F99" w:rsidRPr="003A6799" w:rsidRDefault="00FC7F99" w:rsidP="003A6799">
      <w:pPr>
        <w:pStyle w:val="NormalWeb"/>
        <w:spacing w:line="360" w:lineRule="auto"/>
        <w:rPr>
          <w:sz w:val="24"/>
          <w:szCs w:val="24"/>
        </w:rPr>
      </w:pPr>
      <w:r w:rsidRPr="003A6799">
        <w:rPr>
          <w:rStyle w:val="Textoennegrita"/>
          <w:sz w:val="24"/>
          <w:szCs w:val="24"/>
        </w:rPr>
        <w:t>Title:</w:t>
      </w:r>
      <w:r w:rsidRPr="003A6799">
        <w:rPr>
          <w:sz w:val="24"/>
          <w:szCs w:val="24"/>
        </w:rPr>
        <w:t xml:space="preserve"> An endogenous analysis of early school leaving in Spain: The role of gender and regional inequalities</w:t>
      </w:r>
    </w:p>
    <w:p w14:paraId="1A3D4827" w14:textId="77777777" w:rsidR="00FC7F99" w:rsidRPr="003A6799" w:rsidRDefault="00FC7F99" w:rsidP="003A6799">
      <w:pPr>
        <w:pStyle w:val="NormalWeb"/>
        <w:spacing w:line="360" w:lineRule="auto"/>
        <w:rPr>
          <w:sz w:val="24"/>
          <w:szCs w:val="24"/>
        </w:rPr>
      </w:pPr>
      <w:r w:rsidRPr="003A6799">
        <w:rPr>
          <w:rStyle w:val="Textoennegrita"/>
          <w:sz w:val="24"/>
          <w:szCs w:val="24"/>
        </w:rPr>
        <w:t>Authors:</w:t>
      </w:r>
      <w:r w:rsidRPr="003A6799">
        <w:rPr>
          <w:sz w:val="24"/>
          <w:szCs w:val="24"/>
        </w:rPr>
        <w:t xml:space="preserve"> Siro Bayón-Calvo; Jezabel Lucas-García; Rogelio Gómez-García</w:t>
      </w:r>
    </w:p>
    <w:p w14:paraId="3C05BBBD" w14:textId="77777777" w:rsidR="00FC7F99" w:rsidRPr="003A6799" w:rsidRDefault="00FC7F99" w:rsidP="003A6799">
      <w:pPr>
        <w:pStyle w:val="NormalWeb"/>
        <w:spacing w:line="360" w:lineRule="auto"/>
        <w:rPr>
          <w:sz w:val="24"/>
          <w:szCs w:val="24"/>
        </w:rPr>
      </w:pPr>
      <w:r w:rsidRPr="003A6799">
        <w:rPr>
          <w:rStyle w:val="Textoennegrita"/>
          <w:sz w:val="24"/>
          <w:szCs w:val="24"/>
        </w:rPr>
        <w:t>Affiliation:</w:t>
      </w:r>
      <w:r w:rsidRPr="003A6799">
        <w:rPr>
          <w:sz w:val="24"/>
          <w:szCs w:val="24"/>
        </w:rPr>
        <w:t xml:space="preserve"> University of Valladolid (Spain)</w:t>
      </w:r>
    </w:p>
    <w:p w14:paraId="430004A5" w14:textId="77777777" w:rsidR="00FC7F99" w:rsidRPr="003A6799" w:rsidRDefault="00FC7F99" w:rsidP="003A6799">
      <w:pPr>
        <w:pStyle w:val="NormalWeb"/>
        <w:spacing w:line="360" w:lineRule="auto"/>
        <w:rPr>
          <w:sz w:val="24"/>
          <w:szCs w:val="24"/>
        </w:rPr>
      </w:pPr>
      <w:r w:rsidRPr="003A6799">
        <w:rPr>
          <w:rStyle w:val="Textoennegrita"/>
          <w:sz w:val="24"/>
          <w:szCs w:val="24"/>
        </w:rPr>
        <w:t>Citation of the published Version of Record (</w:t>
      </w:r>
      <w:proofErr w:type="spellStart"/>
      <w:r w:rsidRPr="003A6799">
        <w:rPr>
          <w:rStyle w:val="Textoennegrita"/>
          <w:sz w:val="24"/>
          <w:szCs w:val="24"/>
        </w:rPr>
        <w:t>VoR</w:t>
      </w:r>
      <w:proofErr w:type="spellEnd"/>
      <w:r w:rsidRPr="003A6799">
        <w:rPr>
          <w:rStyle w:val="Textoennegrita"/>
          <w:sz w:val="24"/>
          <w:szCs w:val="24"/>
        </w:rPr>
        <w:t>):</w:t>
      </w:r>
      <w:r w:rsidRPr="003A6799">
        <w:rPr>
          <w:sz w:val="24"/>
          <w:szCs w:val="24"/>
        </w:rPr>
        <w:br/>
        <w:t xml:space="preserve">Bayón-Calvo, S., Lucas-García, J., &amp; Gómez-García, R. (2021). </w:t>
      </w:r>
      <w:r w:rsidRPr="003A6799">
        <w:rPr>
          <w:rStyle w:val="nfasis"/>
          <w:sz w:val="24"/>
          <w:szCs w:val="24"/>
        </w:rPr>
        <w:t>An endogenous analysis of early school leaving in Spain: The role of gender and regional inequalities</w:t>
      </w:r>
      <w:r w:rsidRPr="003A6799">
        <w:rPr>
          <w:sz w:val="24"/>
          <w:szCs w:val="24"/>
        </w:rPr>
        <w:t xml:space="preserve">. </w:t>
      </w:r>
      <w:r w:rsidRPr="003A6799">
        <w:rPr>
          <w:rStyle w:val="nfasis"/>
          <w:sz w:val="24"/>
          <w:szCs w:val="24"/>
        </w:rPr>
        <w:t>European Journal of Education, 56</w:t>
      </w:r>
      <w:r w:rsidRPr="003A6799">
        <w:rPr>
          <w:sz w:val="24"/>
          <w:szCs w:val="24"/>
        </w:rPr>
        <w:t>(3), 482–495.</w:t>
      </w:r>
    </w:p>
    <w:p w14:paraId="72BF169D" w14:textId="77777777" w:rsidR="00FC7F99" w:rsidRPr="003A6799" w:rsidRDefault="00FC7F99" w:rsidP="003A6799">
      <w:pPr>
        <w:pStyle w:val="NormalWeb"/>
        <w:spacing w:line="360" w:lineRule="auto"/>
        <w:rPr>
          <w:sz w:val="24"/>
          <w:szCs w:val="24"/>
        </w:rPr>
      </w:pPr>
      <w:r w:rsidRPr="003A6799">
        <w:rPr>
          <w:rStyle w:val="Textoennegrita"/>
          <w:sz w:val="24"/>
          <w:szCs w:val="24"/>
        </w:rPr>
        <w:t>DOI / Link to Version of Record:</w:t>
      </w:r>
      <w:r w:rsidRPr="003A6799">
        <w:rPr>
          <w:sz w:val="24"/>
          <w:szCs w:val="24"/>
        </w:rPr>
        <w:t xml:space="preserve"> </w:t>
      </w:r>
      <w:hyperlink r:id="rId8" w:tgtFrame="_new" w:history="1">
        <w:r w:rsidRPr="003A6799">
          <w:rPr>
            <w:rStyle w:val="Hipervnculo"/>
            <w:sz w:val="24"/>
            <w:szCs w:val="24"/>
          </w:rPr>
          <w:t>https://doi.org/10.1111/ejed.12461</w:t>
        </w:r>
      </w:hyperlink>
    </w:p>
    <w:p w14:paraId="27D37BB9" w14:textId="77777777" w:rsidR="00FC7F99" w:rsidRPr="003A6799" w:rsidRDefault="00FC7F99" w:rsidP="003A6799">
      <w:pPr>
        <w:pStyle w:val="NormalWeb"/>
        <w:spacing w:line="360" w:lineRule="auto"/>
        <w:rPr>
          <w:sz w:val="24"/>
          <w:szCs w:val="24"/>
        </w:rPr>
      </w:pPr>
      <w:r w:rsidRPr="003A6799">
        <w:rPr>
          <w:rStyle w:val="Textoennegrita"/>
          <w:sz w:val="24"/>
          <w:szCs w:val="24"/>
        </w:rPr>
        <w:t>Rights and re-use (Wiley required statement):</w:t>
      </w:r>
      <w:r w:rsidRPr="003A6799">
        <w:rPr>
          <w:sz w:val="24"/>
          <w:szCs w:val="24"/>
        </w:rPr>
        <w:br/>
        <w:t xml:space="preserve">This is the peer reviewed version of the following article: Bayón-Calvo, S., Lucas-García, J., &amp; Gómez-García, R. (2021). </w:t>
      </w:r>
      <w:r w:rsidRPr="003A6799">
        <w:rPr>
          <w:rStyle w:val="nfasis"/>
          <w:sz w:val="24"/>
          <w:szCs w:val="24"/>
        </w:rPr>
        <w:t>An endogenous analysis of early school leaving in Spain: The role of gender and regional inequalities</w:t>
      </w:r>
      <w:r w:rsidRPr="003A6799">
        <w:rPr>
          <w:sz w:val="24"/>
          <w:szCs w:val="24"/>
        </w:rPr>
        <w:t xml:space="preserve">. </w:t>
      </w:r>
      <w:r w:rsidRPr="003A6799">
        <w:rPr>
          <w:rStyle w:val="nfasis"/>
          <w:sz w:val="24"/>
          <w:szCs w:val="24"/>
        </w:rPr>
        <w:t>European Journal of Education, 56</w:t>
      </w:r>
      <w:r w:rsidRPr="003A6799">
        <w:rPr>
          <w:sz w:val="24"/>
          <w:szCs w:val="24"/>
        </w:rPr>
        <w:t xml:space="preserve">(3), 482–495, which has been published in final form at </w:t>
      </w:r>
      <w:hyperlink r:id="rId9" w:tgtFrame="_new" w:history="1">
        <w:r w:rsidRPr="003A6799">
          <w:rPr>
            <w:rStyle w:val="Hipervnculo"/>
            <w:sz w:val="24"/>
            <w:szCs w:val="24"/>
          </w:rPr>
          <w:t>https://doi.org/10.1111/ejed.12461</w:t>
        </w:r>
      </w:hyperlink>
      <w:r w:rsidRPr="003A6799">
        <w:rPr>
          <w:sz w:val="24"/>
          <w:szCs w:val="24"/>
        </w:rPr>
        <w:t>. This article may be used for non-commercial purposes in accordance with Wiley Terms and Conditions for Use of Self-Archived Versions. This article may not be enhanced, enriched or otherwise transformed into a derivative work, without express permission from Wiley or by statutory rights under applicable legislation. Copyright notices must not be removed, obscured or modified. The article must be linked to Wiley’s version of record on Wiley Online Library and any embedding, framing or otherwise making available the article or pages thereof by third parties from platforms, services and websites other than Wiley Online Library must be prohibited.</w:t>
      </w:r>
    </w:p>
    <w:p w14:paraId="773E3741" w14:textId="77777777" w:rsidR="00FC7F99" w:rsidRPr="003A6799" w:rsidRDefault="00FC7F99" w:rsidP="003A6799">
      <w:pPr>
        <w:pStyle w:val="NormalWeb"/>
        <w:spacing w:line="360" w:lineRule="auto"/>
        <w:rPr>
          <w:sz w:val="24"/>
          <w:szCs w:val="24"/>
        </w:rPr>
      </w:pPr>
      <w:r w:rsidRPr="003A6799">
        <w:rPr>
          <w:rStyle w:val="Textoennegrita"/>
          <w:sz w:val="24"/>
          <w:szCs w:val="24"/>
        </w:rPr>
        <w:t>Embargo:</w:t>
      </w:r>
      <w:r w:rsidRPr="003A6799">
        <w:rPr>
          <w:sz w:val="24"/>
          <w:szCs w:val="24"/>
        </w:rPr>
        <w:t xml:space="preserve"> 24 months from publication. </w:t>
      </w:r>
      <w:r w:rsidRPr="003A6799">
        <w:rPr>
          <w:rStyle w:val="Textoennegrita"/>
          <w:sz w:val="24"/>
          <w:szCs w:val="24"/>
        </w:rPr>
        <w:t>First published:</w:t>
      </w:r>
      <w:r w:rsidRPr="003A6799">
        <w:rPr>
          <w:sz w:val="24"/>
          <w:szCs w:val="24"/>
        </w:rPr>
        <w:t xml:space="preserve"> 28 June 2021. </w:t>
      </w:r>
      <w:r w:rsidRPr="003A6799">
        <w:rPr>
          <w:rStyle w:val="Textoennegrita"/>
          <w:sz w:val="24"/>
          <w:szCs w:val="24"/>
        </w:rPr>
        <w:t>Embargo end date:</w:t>
      </w:r>
      <w:r w:rsidRPr="003A6799">
        <w:rPr>
          <w:sz w:val="24"/>
          <w:szCs w:val="24"/>
        </w:rPr>
        <w:t xml:space="preserve"> 28 June 2023 </w:t>
      </w:r>
      <w:r w:rsidRPr="003A6799">
        <w:rPr>
          <w:rStyle w:val="nfasis"/>
          <w:sz w:val="24"/>
          <w:szCs w:val="24"/>
        </w:rPr>
        <w:t>(embargo satisfied).</w:t>
      </w:r>
    </w:p>
    <w:p w14:paraId="7F170552" w14:textId="0F50B6EA" w:rsidR="006D08A5" w:rsidRPr="00DC2570" w:rsidRDefault="006A1348" w:rsidP="0062001D">
      <w:pPr>
        <w:spacing w:line="480" w:lineRule="auto"/>
        <w:rPr>
          <w:rFonts w:eastAsiaTheme="majorEastAsia"/>
          <w:b/>
          <w:bCs/>
          <w:color w:val="000000" w:themeColor="text1"/>
          <w:sz w:val="32"/>
          <w:szCs w:val="32"/>
          <w:lang w:val="en-GB" w:eastAsia="es-ES"/>
        </w:rPr>
      </w:pPr>
      <w:r w:rsidRPr="000855E0">
        <w:rPr>
          <w:color w:val="000000" w:themeColor="text1"/>
          <w:sz w:val="28"/>
          <w:szCs w:val="28"/>
        </w:rPr>
        <w:br w:type="page"/>
      </w:r>
      <w:r w:rsidR="003D3BE8" w:rsidRPr="00DC2570">
        <w:rPr>
          <w:b/>
          <w:bCs/>
          <w:color w:val="000000" w:themeColor="text1"/>
        </w:rPr>
        <w:lastRenderedPageBreak/>
        <w:t>An endogenous analysis of early school leaving in Spain</w:t>
      </w:r>
      <w:r w:rsidR="006D08A5" w:rsidRPr="00DC2570">
        <w:rPr>
          <w:b/>
          <w:bCs/>
          <w:color w:val="000000" w:themeColor="text1"/>
        </w:rPr>
        <w:t>:</w:t>
      </w:r>
      <w:r w:rsidR="003D3BE8" w:rsidRPr="00DC2570">
        <w:rPr>
          <w:b/>
          <w:bCs/>
          <w:color w:val="000000" w:themeColor="text1"/>
        </w:rPr>
        <w:t xml:space="preserve"> The role of gender and regional inequalities</w:t>
      </w:r>
      <w:r w:rsidR="006D08A5" w:rsidRPr="00DC2570">
        <w:rPr>
          <w:b/>
          <w:bCs/>
          <w:color w:val="000000" w:themeColor="text1"/>
        </w:rPr>
        <w:br/>
      </w:r>
    </w:p>
    <w:p w14:paraId="032585DC" w14:textId="45226CD8" w:rsidR="00E058B0" w:rsidRPr="00052826" w:rsidRDefault="006D08A5" w:rsidP="006D08A5">
      <w:pPr>
        <w:rPr>
          <w:lang w:val="es-ES"/>
        </w:rPr>
      </w:pPr>
      <w:r w:rsidRPr="00052826">
        <w:rPr>
          <w:lang w:val="es-ES"/>
        </w:rPr>
        <w:t xml:space="preserve">Siro Bayón-Calvo, </w:t>
      </w:r>
      <w:r w:rsidR="00D03C30" w:rsidRPr="00052826">
        <w:rPr>
          <w:lang w:val="es-ES"/>
        </w:rPr>
        <w:t>Jezab</w:t>
      </w:r>
      <w:r w:rsidR="009D6BEF" w:rsidRPr="00052826">
        <w:rPr>
          <w:lang w:val="es-ES"/>
        </w:rPr>
        <w:t>el Lucas-García &amp; Rogelio Gómez-</w:t>
      </w:r>
      <w:r w:rsidR="00D03C30" w:rsidRPr="00052826">
        <w:rPr>
          <w:lang w:val="es-ES"/>
        </w:rPr>
        <w:t xml:space="preserve">García </w:t>
      </w:r>
    </w:p>
    <w:p w14:paraId="013BB1AA" w14:textId="6A1B8519" w:rsidR="006D08A5" w:rsidRPr="00052826" w:rsidRDefault="006D08A5" w:rsidP="006D08A5">
      <w:pPr>
        <w:rPr>
          <w:lang w:val="es-ES"/>
        </w:rPr>
      </w:pPr>
    </w:p>
    <w:p w14:paraId="3CA6F63C" w14:textId="77777777" w:rsidR="006D08A5" w:rsidRPr="00052826" w:rsidRDefault="006D08A5" w:rsidP="006D08A5">
      <w:pPr>
        <w:rPr>
          <w:b/>
          <w:bCs/>
          <w:lang w:val="es-ES"/>
        </w:rPr>
      </w:pPr>
      <w:proofErr w:type="spellStart"/>
      <w:r w:rsidRPr="00052826">
        <w:rPr>
          <w:b/>
          <w:bCs/>
          <w:lang w:val="es-ES"/>
        </w:rPr>
        <w:t>Correspondence</w:t>
      </w:r>
      <w:proofErr w:type="spellEnd"/>
      <w:r w:rsidRPr="00052826">
        <w:rPr>
          <w:b/>
          <w:bCs/>
          <w:lang w:val="es-ES"/>
        </w:rPr>
        <w:t xml:space="preserve"> </w:t>
      </w:r>
    </w:p>
    <w:p w14:paraId="3CCDEEB8" w14:textId="56BD0292" w:rsidR="006D08A5" w:rsidRPr="00052826" w:rsidRDefault="006D08A5" w:rsidP="006D08A5">
      <w:pPr>
        <w:rPr>
          <w:rFonts w:eastAsiaTheme="minorEastAsia"/>
          <w:b/>
          <w:bCs/>
          <w:lang w:val="es-ES" w:eastAsia="es-ES"/>
        </w:rPr>
      </w:pPr>
      <w:r w:rsidRPr="00052826">
        <w:rPr>
          <w:b/>
          <w:bCs/>
          <w:lang w:val="es-ES"/>
        </w:rPr>
        <w:t>Siro Bayón-Calv</w:t>
      </w:r>
      <w:bookmarkStart w:id="0" w:name="reftop"/>
      <w:r w:rsidR="00D03C30" w:rsidRPr="00052826">
        <w:rPr>
          <w:b/>
          <w:bCs/>
          <w:lang w:val="es-ES"/>
        </w:rPr>
        <w:t xml:space="preserve">o, </w:t>
      </w:r>
      <w:r w:rsidR="00614657" w:rsidRPr="00052826">
        <w:rPr>
          <w:b/>
          <w:bCs/>
          <w:lang w:val="es-ES"/>
        </w:rPr>
        <w:t xml:space="preserve">Universidad Complutense de Madrid/ </w:t>
      </w:r>
      <w:proofErr w:type="spellStart"/>
      <w:r w:rsidR="00D03C30" w:rsidRPr="00052826">
        <w:rPr>
          <w:rFonts w:eastAsiaTheme="minorEastAsia"/>
          <w:b/>
          <w:bCs/>
          <w:lang w:val="es-ES" w:eastAsia="es-ES"/>
        </w:rPr>
        <w:t>Department</w:t>
      </w:r>
      <w:proofErr w:type="spellEnd"/>
      <w:r w:rsidR="00D03C30" w:rsidRPr="00052826">
        <w:rPr>
          <w:rFonts w:eastAsiaTheme="minorEastAsia"/>
          <w:b/>
          <w:bCs/>
          <w:lang w:val="es-ES" w:eastAsia="es-ES"/>
        </w:rPr>
        <w:t xml:space="preserve"> </w:t>
      </w:r>
      <w:proofErr w:type="spellStart"/>
      <w:r w:rsidR="00D03C30" w:rsidRPr="00052826">
        <w:rPr>
          <w:rFonts w:eastAsiaTheme="minorEastAsia"/>
          <w:b/>
          <w:bCs/>
          <w:lang w:val="es-ES" w:eastAsia="es-ES"/>
        </w:rPr>
        <w:t>of</w:t>
      </w:r>
      <w:proofErr w:type="spellEnd"/>
      <w:r w:rsidR="00D03C30" w:rsidRPr="00052826">
        <w:rPr>
          <w:rFonts w:eastAsiaTheme="minorEastAsia"/>
          <w:b/>
          <w:bCs/>
          <w:lang w:val="es-ES" w:eastAsia="es-ES"/>
        </w:rPr>
        <w:t xml:space="preserve"> </w:t>
      </w:r>
      <w:proofErr w:type="spellStart"/>
      <w:r w:rsidR="00D03C30" w:rsidRPr="00052826">
        <w:rPr>
          <w:rFonts w:eastAsiaTheme="minorEastAsia"/>
          <w:b/>
          <w:bCs/>
          <w:lang w:val="es-ES" w:eastAsia="es-ES"/>
        </w:rPr>
        <w:t>Sociology</w:t>
      </w:r>
      <w:proofErr w:type="spellEnd"/>
      <w:r w:rsidR="00D03C30" w:rsidRPr="00052826">
        <w:rPr>
          <w:rFonts w:eastAsiaTheme="minorEastAsia"/>
          <w:b/>
          <w:bCs/>
          <w:lang w:val="es-ES" w:eastAsia="es-ES"/>
        </w:rPr>
        <w:t xml:space="preserve"> and Social </w:t>
      </w:r>
      <w:proofErr w:type="spellStart"/>
      <w:r w:rsidR="00D03C30" w:rsidRPr="00052826">
        <w:rPr>
          <w:rFonts w:eastAsiaTheme="minorEastAsia"/>
          <w:b/>
          <w:bCs/>
          <w:lang w:val="es-ES" w:eastAsia="es-ES"/>
        </w:rPr>
        <w:t>Work</w:t>
      </w:r>
      <w:proofErr w:type="spellEnd"/>
      <w:r w:rsidR="00D03C30" w:rsidRPr="00052826">
        <w:rPr>
          <w:rFonts w:eastAsiaTheme="minorEastAsia"/>
          <w:b/>
          <w:bCs/>
          <w:lang w:val="es-ES" w:eastAsia="es-ES"/>
        </w:rPr>
        <w:t>,</w:t>
      </w:r>
      <w:r w:rsidR="00D03C30" w:rsidRPr="00052826">
        <w:rPr>
          <w:b/>
          <w:bCs/>
          <w:lang w:val="es-ES"/>
        </w:rPr>
        <w:t xml:space="preserve"> </w:t>
      </w:r>
      <w:proofErr w:type="spellStart"/>
      <w:r w:rsidR="00D03C30" w:rsidRPr="00052826">
        <w:rPr>
          <w:rFonts w:eastAsiaTheme="minorEastAsia"/>
          <w:b/>
          <w:bCs/>
          <w:lang w:val="es-ES" w:eastAsia="es-ES"/>
        </w:rPr>
        <w:t>University</w:t>
      </w:r>
      <w:proofErr w:type="spellEnd"/>
      <w:r w:rsidR="00D03C30" w:rsidRPr="00052826">
        <w:rPr>
          <w:rFonts w:eastAsiaTheme="minorEastAsia"/>
          <w:b/>
          <w:bCs/>
          <w:lang w:val="es-ES" w:eastAsia="es-ES"/>
        </w:rPr>
        <w:t xml:space="preserve"> </w:t>
      </w:r>
      <w:proofErr w:type="spellStart"/>
      <w:r w:rsidR="00D03C30" w:rsidRPr="00052826">
        <w:rPr>
          <w:rFonts w:eastAsiaTheme="minorEastAsia"/>
          <w:b/>
          <w:bCs/>
          <w:lang w:val="es-ES" w:eastAsia="es-ES"/>
        </w:rPr>
        <w:t>of</w:t>
      </w:r>
      <w:proofErr w:type="spellEnd"/>
      <w:r w:rsidR="00D03C30" w:rsidRPr="00052826">
        <w:rPr>
          <w:rFonts w:eastAsiaTheme="minorEastAsia"/>
          <w:b/>
          <w:bCs/>
          <w:lang w:val="es-ES" w:eastAsia="es-ES"/>
        </w:rPr>
        <w:t xml:space="preserve"> Valladolid, Avenida Valle Esgueva, 6 Facultad de Ciencias Económicas y Empresariales Valladolid </w:t>
      </w:r>
      <w:proofErr w:type="spellStart"/>
      <w:r w:rsidR="00D03C30" w:rsidRPr="00052826">
        <w:rPr>
          <w:rFonts w:eastAsiaTheme="minorEastAsia"/>
          <w:b/>
          <w:bCs/>
          <w:lang w:val="es-ES" w:eastAsia="es-ES"/>
        </w:rPr>
        <w:t>Valladolid</w:t>
      </w:r>
      <w:proofErr w:type="spellEnd"/>
      <w:r w:rsidR="00D03C30" w:rsidRPr="00052826">
        <w:rPr>
          <w:rFonts w:eastAsiaTheme="minorEastAsia"/>
          <w:b/>
          <w:bCs/>
          <w:lang w:val="es-ES" w:eastAsia="es-ES"/>
        </w:rPr>
        <w:t xml:space="preserve"> 47011, </w:t>
      </w:r>
      <w:proofErr w:type="spellStart"/>
      <w:r w:rsidR="00D03C30" w:rsidRPr="00052826">
        <w:rPr>
          <w:rFonts w:eastAsiaTheme="minorEastAsia"/>
          <w:b/>
          <w:bCs/>
          <w:lang w:val="es-ES" w:eastAsia="es-ES"/>
        </w:rPr>
        <w:t>Spain</w:t>
      </w:r>
      <w:bookmarkEnd w:id="0"/>
      <w:proofErr w:type="spellEnd"/>
    </w:p>
    <w:p w14:paraId="5E3A2573" w14:textId="1C5AEA53" w:rsidR="00D03C30" w:rsidRPr="00F96EBF" w:rsidRDefault="00D03C30" w:rsidP="006D08A5">
      <w:pPr>
        <w:rPr>
          <w:b/>
          <w:bCs/>
          <w:lang w:val="en-GB"/>
        </w:rPr>
      </w:pPr>
      <w:r w:rsidRPr="00F96EBF">
        <w:rPr>
          <w:b/>
          <w:bCs/>
          <w:lang w:val="en-GB"/>
        </w:rPr>
        <w:t>Email: siro.bayon@uva.es</w:t>
      </w:r>
    </w:p>
    <w:p w14:paraId="064FA9A7" w14:textId="77777777" w:rsidR="00D03C30" w:rsidRPr="00F96EBF" w:rsidRDefault="00D03C30" w:rsidP="006D08A5">
      <w:pPr>
        <w:rPr>
          <w:b/>
          <w:bCs/>
          <w:lang w:val="en-GB"/>
        </w:rPr>
      </w:pPr>
    </w:p>
    <w:p w14:paraId="69C895CC" w14:textId="4504F260" w:rsidR="00D03C30" w:rsidRPr="00F96EBF" w:rsidRDefault="00D03C30" w:rsidP="00D03C30">
      <w:pPr>
        <w:rPr>
          <w:rFonts w:eastAsiaTheme="minorEastAsia"/>
          <w:b/>
          <w:bCs/>
          <w:lang w:val="en-GB" w:eastAsia="es-ES"/>
        </w:rPr>
      </w:pPr>
      <w:r w:rsidRPr="00F96EBF">
        <w:rPr>
          <w:b/>
          <w:bCs/>
          <w:lang w:val="en-GB"/>
        </w:rPr>
        <w:t xml:space="preserve">Jezabel Lucas-García, </w:t>
      </w:r>
      <w:r w:rsidRPr="00F96EBF">
        <w:rPr>
          <w:rFonts w:eastAsiaTheme="minorEastAsia"/>
          <w:b/>
          <w:bCs/>
          <w:lang w:val="en-GB" w:eastAsia="es-ES"/>
        </w:rPr>
        <w:t>Department of Sociology and Social Work,</w:t>
      </w:r>
      <w:r w:rsidRPr="00F96EBF">
        <w:rPr>
          <w:b/>
          <w:bCs/>
          <w:lang w:val="en-GB"/>
        </w:rPr>
        <w:t xml:space="preserve"> </w:t>
      </w:r>
      <w:r w:rsidRPr="00F96EBF">
        <w:rPr>
          <w:rFonts w:eastAsiaTheme="minorEastAsia"/>
          <w:b/>
          <w:bCs/>
          <w:lang w:val="en-GB" w:eastAsia="es-ES"/>
        </w:rPr>
        <w:t>University of Valladolid, Spain</w:t>
      </w:r>
    </w:p>
    <w:p w14:paraId="6C43251A" w14:textId="77777777" w:rsidR="00D03C30" w:rsidRPr="00F96EBF" w:rsidRDefault="00D03C30" w:rsidP="006D08A5">
      <w:pPr>
        <w:rPr>
          <w:b/>
          <w:bCs/>
          <w:lang w:val="en-GB"/>
        </w:rPr>
      </w:pPr>
    </w:p>
    <w:p w14:paraId="7213B6F4" w14:textId="7861D7CE" w:rsidR="00D03C30" w:rsidRPr="00F96EBF" w:rsidRDefault="009D6BEF" w:rsidP="006D08A5">
      <w:pPr>
        <w:rPr>
          <w:b/>
          <w:bCs/>
          <w:lang w:val="en-GB"/>
        </w:rPr>
      </w:pPr>
      <w:r>
        <w:rPr>
          <w:b/>
          <w:bCs/>
          <w:lang w:val="en-GB"/>
        </w:rPr>
        <w:t>Rogelio Gómez-</w:t>
      </w:r>
      <w:r w:rsidR="00D03C30" w:rsidRPr="00F96EBF">
        <w:rPr>
          <w:b/>
          <w:bCs/>
          <w:lang w:val="en-GB"/>
        </w:rPr>
        <w:t xml:space="preserve">García, </w:t>
      </w:r>
      <w:r w:rsidR="00D03C30" w:rsidRPr="00F96EBF">
        <w:rPr>
          <w:rFonts w:eastAsiaTheme="minorEastAsia"/>
          <w:b/>
          <w:bCs/>
          <w:lang w:val="en-GB" w:eastAsia="es-ES"/>
        </w:rPr>
        <w:t>Department of Sociology and Social Work,</w:t>
      </w:r>
      <w:r w:rsidR="00D03C30" w:rsidRPr="00F96EBF">
        <w:rPr>
          <w:b/>
          <w:bCs/>
          <w:lang w:val="en-GB"/>
        </w:rPr>
        <w:t xml:space="preserve"> </w:t>
      </w:r>
      <w:r w:rsidR="00D03C30" w:rsidRPr="00F96EBF">
        <w:rPr>
          <w:rFonts w:eastAsiaTheme="minorEastAsia"/>
          <w:b/>
          <w:bCs/>
          <w:lang w:val="en-GB" w:eastAsia="es-ES"/>
        </w:rPr>
        <w:t>University of Valladolid, Spain</w:t>
      </w:r>
      <w:r w:rsidR="00D03C30" w:rsidRPr="00F96EBF">
        <w:rPr>
          <w:b/>
          <w:bCs/>
          <w:lang w:val="en-GB"/>
        </w:rPr>
        <w:t xml:space="preserve"> </w:t>
      </w:r>
    </w:p>
    <w:p w14:paraId="1B691DC4" w14:textId="77777777" w:rsidR="006D08A5" w:rsidRPr="00F96EBF" w:rsidRDefault="006D08A5" w:rsidP="006D08A5">
      <w:pPr>
        <w:rPr>
          <w:color w:val="000000" w:themeColor="text1"/>
          <w:lang w:val="en-GB"/>
        </w:rPr>
      </w:pPr>
    </w:p>
    <w:p w14:paraId="730F5490" w14:textId="6F0B78C5" w:rsidR="009D33E4" w:rsidRPr="00F96EBF" w:rsidRDefault="00E058B0" w:rsidP="006D08A5">
      <w:pPr>
        <w:pStyle w:val="TtuloAbstract"/>
        <w:spacing w:line="240" w:lineRule="auto"/>
        <w:ind w:firstLine="0"/>
        <w:jc w:val="left"/>
        <w:rPr>
          <w:rFonts w:cs="Times New Roman"/>
          <w:color w:val="000000" w:themeColor="text1"/>
          <w:sz w:val="28"/>
          <w:szCs w:val="28"/>
        </w:rPr>
      </w:pPr>
      <w:r w:rsidRPr="00F96EBF">
        <w:rPr>
          <w:rFonts w:cs="Times New Roman"/>
          <w:color w:val="000000" w:themeColor="text1"/>
          <w:sz w:val="28"/>
          <w:szCs w:val="28"/>
        </w:rPr>
        <w:t>Abstract</w:t>
      </w:r>
    </w:p>
    <w:p w14:paraId="518CF401" w14:textId="6A3FAD87" w:rsidR="00E058B0" w:rsidRPr="00F96EBF" w:rsidRDefault="00E058B0" w:rsidP="00A95EB3">
      <w:pPr>
        <w:pStyle w:val="TtuloAbstract"/>
        <w:spacing w:line="240" w:lineRule="auto"/>
        <w:ind w:firstLine="0"/>
        <w:rPr>
          <w:rFonts w:cs="Times New Roman"/>
          <w:color w:val="000000" w:themeColor="text1"/>
        </w:rPr>
      </w:pPr>
      <w:r w:rsidRPr="00F96EBF">
        <w:rPr>
          <w:rFonts w:cs="Times New Roman"/>
          <w:b w:val="0"/>
          <w:color w:val="000000" w:themeColor="text1"/>
          <w:sz w:val="24"/>
          <w:szCs w:val="24"/>
        </w:rPr>
        <w:t>Early school leaving is a major social problem</w:t>
      </w:r>
      <w:r w:rsidR="004536A7" w:rsidRPr="00F96EBF">
        <w:rPr>
          <w:rFonts w:cs="Times New Roman"/>
          <w:b w:val="0"/>
          <w:color w:val="000000" w:themeColor="text1"/>
          <w:sz w:val="24"/>
          <w:szCs w:val="24"/>
        </w:rPr>
        <w:t xml:space="preserve"> and a socio-political priority</w:t>
      </w:r>
      <w:r w:rsidRPr="00F96EBF">
        <w:rPr>
          <w:rFonts w:cs="Times New Roman"/>
          <w:b w:val="0"/>
          <w:color w:val="000000" w:themeColor="text1"/>
          <w:sz w:val="24"/>
          <w:szCs w:val="24"/>
        </w:rPr>
        <w:t xml:space="preserve"> in knowledge-based societies</w:t>
      </w:r>
      <w:r w:rsidR="00F117A2" w:rsidRPr="00F96EBF">
        <w:rPr>
          <w:rFonts w:cs="Times New Roman"/>
          <w:b w:val="0"/>
          <w:color w:val="000000" w:themeColor="text1"/>
          <w:sz w:val="24"/>
          <w:szCs w:val="24"/>
        </w:rPr>
        <w:t>,</w:t>
      </w:r>
      <w:r w:rsidR="0073048C" w:rsidRPr="00F96EBF">
        <w:rPr>
          <w:rFonts w:cs="Times New Roman"/>
          <w:b w:val="0"/>
          <w:color w:val="000000" w:themeColor="text1"/>
          <w:sz w:val="24"/>
          <w:szCs w:val="24"/>
        </w:rPr>
        <w:t xml:space="preserve"> </w:t>
      </w:r>
      <w:r w:rsidR="00F117A2" w:rsidRPr="00F96EBF">
        <w:rPr>
          <w:rFonts w:cs="Times New Roman"/>
          <w:b w:val="0"/>
          <w:color w:val="000000" w:themeColor="text1"/>
          <w:sz w:val="24"/>
          <w:szCs w:val="24"/>
        </w:rPr>
        <w:t xml:space="preserve">especially in </w:t>
      </w:r>
      <w:r w:rsidR="000A74A6" w:rsidRPr="00F96EBF">
        <w:rPr>
          <w:rFonts w:cs="Times New Roman"/>
          <w:b w:val="0"/>
          <w:color w:val="000000" w:themeColor="text1"/>
          <w:sz w:val="24"/>
          <w:szCs w:val="24"/>
        </w:rPr>
        <w:t xml:space="preserve">southern European </w:t>
      </w:r>
      <w:r w:rsidR="00F117A2" w:rsidRPr="00614657">
        <w:rPr>
          <w:rFonts w:cs="Times New Roman"/>
          <w:b w:val="0"/>
          <w:color w:val="000000" w:themeColor="text1"/>
          <w:sz w:val="24"/>
          <w:szCs w:val="24"/>
        </w:rPr>
        <w:t xml:space="preserve">countries </w:t>
      </w:r>
      <w:r w:rsidR="00A95EB3" w:rsidRPr="00614657">
        <w:rPr>
          <w:rFonts w:cs="Times New Roman"/>
          <w:b w:val="0"/>
          <w:color w:val="000000" w:themeColor="text1"/>
          <w:sz w:val="24"/>
          <w:szCs w:val="24"/>
        </w:rPr>
        <w:t>that have a</w:t>
      </w:r>
      <w:r w:rsidR="00F76C0B" w:rsidRPr="00614657">
        <w:rPr>
          <w:rFonts w:cs="Times New Roman"/>
          <w:b w:val="0"/>
          <w:color w:val="000000" w:themeColor="text1"/>
          <w:sz w:val="24"/>
          <w:szCs w:val="24"/>
        </w:rPr>
        <w:t xml:space="preserve"> tendency </w:t>
      </w:r>
      <w:r w:rsidR="00A95EB3" w:rsidRPr="00614657">
        <w:rPr>
          <w:rFonts w:cs="Times New Roman"/>
          <w:b w:val="0"/>
          <w:color w:val="000000" w:themeColor="text1"/>
          <w:sz w:val="24"/>
          <w:szCs w:val="24"/>
        </w:rPr>
        <w:t>for</w:t>
      </w:r>
      <w:r w:rsidR="00F76C0B" w:rsidRPr="00614657">
        <w:rPr>
          <w:rFonts w:cs="Times New Roman"/>
          <w:b w:val="0"/>
          <w:color w:val="000000" w:themeColor="text1"/>
          <w:sz w:val="24"/>
          <w:szCs w:val="24"/>
        </w:rPr>
        <w:t xml:space="preserve"> </w:t>
      </w:r>
      <w:r w:rsidR="00A95EB3" w:rsidRPr="00614657">
        <w:rPr>
          <w:rFonts w:cs="Times New Roman"/>
          <w:b w:val="0"/>
          <w:color w:val="000000" w:themeColor="text1"/>
          <w:sz w:val="24"/>
          <w:szCs w:val="24"/>
        </w:rPr>
        <w:t xml:space="preserve">comparatively </w:t>
      </w:r>
      <w:r w:rsidR="0073048C" w:rsidRPr="00614657">
        <w:rPr>
          <w:rFonts w:cs="Times New Roman"/>
          <w:b w:val="0"/>
          <w:color w:val="000000" w:themeColor="text1"/>
          <w:sz w:val="24"/>
          <w:szCs w:val="24"/>
        </w:rPr>
        <w:t>high dropout rates.</w:t>
      </w:r>
      <w:r w:rsidRPr="00614657">
        <w:rPr>
          <w:rFonts w:cs="Times New Roman"/>
          <w:b w:val="0"/>
          <w:color w:val="000000" w:themeColor="text1"/>
          <w:sz w:val="24"/>
          <w:szCs w:val="24"/>
        </w:rPr>
        <w:t xml:space="preserve"> </w:t>
      </w:r>
      <w:r w:rsidR="00100635" w:rsidRPr="00F96EBF">
        <w:rPr>
          <w:rFonts w:cs="Times New Roman"/>
          <w:b w:val="0"/>
          <w:color w:val="000000" w:themeColor="text1"/>
          <w:sz w:val="24"/>
          <w:szCs w:val="24"/>
        </w:rPr>
        <w:t>The literature has focus</w:t>
      </w:r>
      <w:r w:rsidR="008071B7" w:rsidRPr="00F96EBF">
        <w:rPr>
          <w:rFonts w:cs="Times New Roman"/>
          <w:b w:val="0"/>
          <w:color w:val="000000" w:themeColor="text1"/>
          <w:sz w:val="24"/>
          <w:szCs w:val="24"/>
        </w:rPr>
        <w:t>ed strongly</w:t>
      </w:r>
      <w:r w:rsidR="00100635" w:rsidRPr="00F96EBF">
        <w:rPr>
          <w:rFonts w:cs="Times New Roman"/>
          <w:b w:val="0"/>
          <w:color w:val="000000" w:themeColor="text1"/>
          <w:sz w:val="24"/>
          <w:szCs w:val="24"/>
        </w:rPr>
        <w:t xml:space="preserve"> on the exogenous factors that cause </w:t>
      </w:r>
      <w:r w:rsidR="008071B7" w:rsidRPr="00F96EBF">
        <w:rPr>
          <w:rFonts w:cs="Times New Roman"/>
          <w:b w:val="0"/>
          <w:color w:val="000000" w:themeColor="text1"/>
          <w:sz w:val="24"/>
          <w:szCs w:val="24"/>
        </w:rPr>
        <w:t>students to leave</w:t>
      </w:r>
      <w:r w:rsidR="00100635" w:rsidRPr="00F96EBF">
        <w:rPr>
          <w:rFonts w:cs="Times New Roman"/>
          <w:b w:val="0"/>
          <w:color w:val="000000" w:themeColor="text1"/>
          <w:sz w:val="24"/>
          <w:szCs w:val="24"/>
        </w:rPr>
        <w:t xml:space="preserve"> school</w:t>
      </w:r>
      <w:r w:rsidR="008071B7" w:rsidRPr="00F96EBF">
        <w:rPr>
          <w:rFonts w:cs="Times New Roman"/>
          <w:b w:val="0"/>
          <w:color w:val="000000" w:themeColor="text1"/>
          <w:sz w:val="24"/>
          <w:szCs w:val="24"/>
        </w:rPr>
        <w:t xml:space="preserve"> early</w:t>
      </w:r>
      <w:r w:rsidR="00A95EB3" w:rsidRPr="00F96EBF">
        <w:rPr>
          <w:rFonts w:cs="Times New Roman"/>
          <w:b w:val="0"/>
          <w:color w:val="000000" w:themeColor="text1"/>
          <w:sz w:val="24"/>
          <w:szCs w:val="24"/>
        </w:rPr>
        <w:t xml:space="preserve">. </w:t>
      </w:r>
      <w:r w:rsidR="00A95EB3" w:rsidRPr="00614657">
        <w:rPr>
          <w:rFonts w:cs="Times New Roman"/>
          <w:b w:val="0"/>
          <w:color w:val="000000" w:themeColor="text1"/>
          <w:sz w:val="24"/>
          <w:szCs w:val="24"/>
        </w:rPr>
        <w:t>Meanwhile,</w:t>
      </w:r>
      <w:r w:rsidR="00100635" w:rsidRPr="00614657">
        <w:rPr>
          <w:rFonts w:cs="Times New Roman"/>
          <w:b w:val="0"/>
          <w:color w:val="000000" w:themeColor="text1"/>
          <w:sz w:val="24"/>
          <w:szCs w:val="24"/>
        </w:rPr>
        <w:t xml:space="preserve"> </w:t>
      </w:r>
      <w:r w:rsidR="00FB078E" w:rsidRPr="00614657">
        <w:rPr>
          <w:rFonts w:cs="Times New Roman"/>
          <w:b w:val="0"/>
          <w:color w:val="000000" w:themeColor="text1"/>
          <w:sz w:val="24"/>
          <w:szCs w:val="24"/>
        </w:rPr>
        <w:t xml:space="preserve">endogenous </w:t>
      </w:r>
      <w:r w:rsidR="00D6270F" w:rsidRPr="00614657">
        <w:rPr>
          <w:rFonts w:cs="Times New Roman"/>
          <w:b w:val="0"/>
          <w:color w:val="000000" w:themeColor="text1"/>
          <w:sz w:val="24"/>
          <w:szCs w:val="24"/>
        </w:rPr>
        <w:t>factors</w:t>
      </w:r>
      <w:r w:rsidR="005B60DC" w:rsidRPr="00614657">
        <w:rPr>
          <w:rFonts w:cs="Times New Roman"/>
          <w:b w:val="0"/>
          <w:color w:val="000000" w:themeColor="text1"/>
          <w:sz w:val="24"/>
          <w:szCs w:val="24"/>
        </w:rPr>
        <w:t>,</w:t>
      </w:r>
      <w:r w:rsidR="003F49A5" w:rsidRPr="00614657">
        <w:rPr>
          <w:rFonts w:cs="Times New Roman"/>
          <w:b w:val="0"/>
          <w:color w:val="000000" w:themeColor="text1"/>
          <w:sz w:val="24"/>
          <w:szCs w:val="24"/>
        </w:rPr>
        <w:t xml:space="preserve"> such as </w:t>
      </w:r>
      <w:r w:rsidR="00100635" w:rsidRPr="00614657">
        <w:rPr>
          <w:rFonts w:cs="Times New Roman"/>
          <w:b w:val="0"/>
          <w:color w:val="000000" w:themeColor="text1"/>
          <w:sz w:val="24"/>
          <w:szCs w:val="24"/>
        </w:rPr>
        <w:t>scholastic performance</w:t>
      </w:r>
      <w:r w:rsidR="003F49A5" w:rsidRPr="00614657">
        <w:rPr>
          <w:rFonts w:cs="Times New Roman"/>
          <w:b w:val="0"/>
          <w:color w:val="000000" w:themeColor="text1"/>
          <w:sz w:val="24"/>
          <w:szCs w:val="24"/>
        </w:rPr>
        <w:t>,</w:t>
      </w:r>
      <w:r w:rsidR="00D6270F" w:rsidRPr="00614657">
        <w:rPr>
          <w:rFonts w:cs="Times New Roman"/>
          <w:b w:val="0"/>
          <w:color w:val="000000" w:themeColor="text1"/>
          <w:sz w:val="24"/>
          <w:szCs w:val="24"/>
        </w:rPr>
        <w:t xml:space="preserve"> </w:t>
      </w:r>
      <w:r w:rsidR="00100635" w:rsidRPr="00614657">
        <w:rPr>
          <w:rFonts w:cs="Times New Roman"/>
          <w:b w:val="0"/>
          <w:color w:val="000000" w:themeColor="text1"/>
          <w:sz w:val="24"/>
          <w:szCs w:val="24"/>
        </w:rPr>
        <w:t>educational attainment</w:t>
      </w:r>
      <w:r w:rsidR="00D6270F" w:rsidRPr="00614657">
        <w:rPr>
          <w:rFonts w:cs="Times New Roman"/>
          <w:b w:val="0"/>
          <w:color w:val="000000" w:themeColor="text1"/>
          <w:sz w:val="24"/>
          <w:szCs w:val="24"/>
        </w:rPr>
        <w:t xml:space="preserve"> or the holistic needs of students</w:t>
      </w:r>
      <w:r w:rsidR="00100635" w:rsidRPr="00614657">
        <w:rPr>
          <w:rFonts w:cs="Times New Roman"/>
          <w:b w:val="0"/>
          <w:color w:val="000000" w:themeColor="text1"/>
          <w:sz w:val="24"/>
          <w:szCs w:val="24"/>
        </w:rPr>
        <w:t xml:space="preserve"> </w:t>
      </w:r>
      <w:r w:rsidR="00A95EB3" w:rsidRPr="00614657">
        <w:rPr>
          <w:rFonts w:cs="Times New Roman"/>
          <w:b w:val="0"/>
          <w:color w:val="000000" w:themeColor="text1"/>
          <w:sz w:val="24"/>
          <w:szCs w:val="24"/>
        </w:rPr>
        <w:t xml:space="preserve">are also </w:t>
      </w:r>
      <w:r w:rsidR="00100635" w:rsidRPr="00614657">
        <w:rPr>
          <w:rFonts w:cs="Times New Roman"/>
          <w:b w:val="0"/>
          <w:color w:val="000000" w:themeColor="text1"/>
          <w:sz w:val="24"/>
          <w:szCs w:val="24"/>
        </w:rPr>
        <w:t xml:space="preserve">important </w:t>
      </w:r>
      <w:r w:rsidR="00A95EB3" w:rsidRPr="00614657">
        <w:rPr>
          <w:rFonts w:cs="Times New Roman"/>
          <w:b w:val="0"/>
          <w:color w:val="000000" w:themeColor="text1"/>
          <w:sz w:val="24"/>
          <w:szCs w:val="24"/>
        </w:rPr>
        <w:t xml:space="preserve">to </w:t>
      </w:r>
      <w:r w:rsidR="000A74A6" w:rsidRPr="00614657">
        <w:rPr>
          <w:rFonts w:cs="Times New Roman"/>
          <w:b w:val="0"/>
          <w:color w:val="000000" w:themeColor="text1"/>
          <w:sz w:val="24"/>
          <w:szCs w:val="24"/>
        </w:rPr>
        <w:t>consider</w:t>
      </w:r>
      <w:r w:rsidR="00100635" w:rsidRPr="00F96EBF">
        <w:rPr>
          <w:rFonts w:cs="Times New Roman"/>
          <w:b w:val="0"/>
          <w:color w:val="0432FF"/>
          <w:sz w:val="24"/>
          <w:szCs w:val="24"/>
        </w:rPr>
        <w:t xml:space="preserve">. </w:t>
      </w:r>
      <w:r w:rsidR="008071B7" w:rsidRPr="00F96EBF">
        <w:rPr>
          <w:rFonts w:cs="Times New Roman"/>
          <w:b w:val="0"/>
          <w:color w:val="000000" w:themeColor="text1"/>
          <w:sz w:val="24"/>
          <w:szCs w:val="24"/>
        </w:rPr>
        <w:t>E</w:t>
      </w:r>
      <w:r w:rsidRPr="00F96EBF">
        <w:rPr>
          <w:rFonts w:cs="Times New Roman"/>
          <w:b w:val="0"/>
          <w:color w:val="000000" w:themeColor="text1"/>
          <w:sz w:val="24"/>
          <w:szCs w:val="24"/>
        </w:rPr>
        <w:t xml:space="preserve">arly school leaving represents the </w:t>
      </w:r>
      <w:r w:rsidR="00D643BC" w:rsidRPr="00F96EBF">
        <w:rPr>
          <w:rFonts w:cs="Times New Roman"/>
          <w:b w:val="0"/>
          <w:color w:val="000000" w:themeColor="text1"/>
          <w:sz w:val="24"/>
          <w:szCs w:val="24"/>
        </w:rPr>
        <w:t xml:space="preserve">culmination </w:t>
      </w:r>
      <w:r w:rsidRPr="00F96EBF">
        <w:rPr>
          <w:rFonts w:cs="Times New Roman"/>
          <w:b w:val="0"/>
          <w:color w:val="000000" w:themeColor="text1"/>
          <w:sz w:val="24"/>
          <w:szCs w:val="24"/>
        </w:rPr>
        <w:t xml:space="preserve">of a process of </w:t>
      </w:r>
      <w:r w:rsidRPr="00614657">
        <w:rPr>
          <w:rFonts w:cs="Times New Roman"/>
          <w:b w:val="0"/>
          <w:color w:val="000000" w:themeColor="text1"/>
          <w:sz w:val="24"/>
          <w:szCs w:val="24"/>
        </w:rPr>
        <w:t>disengagement</w:t>
      </w:r>
      <w:r w:rsidR="00A95EB3" w:rsidRPr="00614657">
        <w:rPr>
          <w:rFonts w:cs="Times New Roman"/>
          <w:b w:val="0"/>
          <w:color w:val="000000" w:themeColor="text1"/>
          <w:sz w:val="24"/>
          <w:szCs w:val="24"/>
        </w:rPr>
        <w:t xml:space="preserve">, </w:t>
      </w:r>
      <w:r w:rsidR="008071B7" w:rsidRPr="00614657">
        <w:rPr>
          <w:rFonts w:cs="Times New Roman"/>
          <w:b w:val="0"/>
          <w:color w:val="000000" w:themeColor="text1"/>
          <w:sz w:val="24"/>
          <w:szCs w:val="24"/>
        </w:rPr>
        <w:t>this article analyse</w:t>
      </w:r>
      <w:r w:rsidR="00A95EB3" w:rsidRPr="00614657">
        <w:rPr>
          <w:rFonts w:cs="Times New Roman"/>
          <w:b w:val="0"/>
          <w:color w:val="000000" w:themeColor="text1"/>
          <w:sz w:val="24"/>
          <w:szCs w:val="24"/>
        </w:rPr>
        <w:t>s</w:t>
      </w:r>
      <w:r w:rsidR="008071B7" w:rsidRPr="00614657">
        <w:rPr>
          <w:rFonts w:cs="Times New Roman"/>
          <w:b w:val="0"/>
          <w:color w:val="000000" w:themeColor="text1"/>
          <w:sz w:val="24"/>
          <w:szCs w:val="24"/>
        </w:rPr>
        <w:t xml:space="preserve"> </w:t>
      </w:r>
      <w:r w:rsidR="006931E8" w:rsidRPr="00614657">
        <w:rPr>
          <w:rFonts w:cs="Times New Roman"/>
          <w:b w:val="0"/>
          <w:color w:val="000000" w:themeColor="text1"/>
          <w:sz w:val="24"/>
          <w:szCs w:val="24"/>
        </w:rPr>
        <w:t xml:space="preserve">some of </w:t>
      </w:r>
      <w:r w:rsidR="008071B7" w:rsidRPr="00614657">
        <w:rPr>
          <w:rFonts w:cs="Times New Roman"/>
          <w:b w:val="0"/>
          <w:color w:val="000000" w:themeColor="text1"/>
          <w:sz w:val="24"/>
          <w:szCs w:val="24"/>
        </w:rPr>
        <w:t>the endogenous factors behind it</w:t>
      </w:r>
      <w:r w:rsidR="001D0714" w:rsidRPr="00614657">
        <w:rPr>
          <w:rFonts w:cs="Times New Roman"/>
          <w:b w:val="0"/>
          <w:color w:val="000000" w:themeColor="text1"/>
          <w:sz w:val="24"/>
          <w:szCs w:val="24"/>
        </w:rPr>
        <w:t xml:space="preserve">. To this end, </w:t>
      </w:r>
      <w:r w:rsidR="00233B42" w:rsidRPr="00614657">
        <w:rPr>
          <w:rFonts w:cs="Times New Roman"/>
          <w:b w:val="0"/>
          <w:color w:val="000000" w:themeColor="text1"/>
          <w:sz w:val="24"/>
          <w:szCs w:val="24"/>
        </w:rPr>
        <w:t xml:space="preserve">we compare early school leaving </w:t>
      </w:r>
      <w:r w:rsidR="00233B42" w:rsidRPr="00F96EBF">
        <w:rPr>
          <w:rFonts w:cs="Times New Roman"/>
          <w:b w:val="0"/>
          <w:color w:val="000000" w:themeColor="text1"/>
          <w:sz w:val="24"/>
          <w:szCs w:val="24"/>
        </w:rPr>
        <w:t>with educational results from previous stages</w:t>
      </w:r>
      <w:r w:rsidR="00DE782D" w:rsidRPr="00F96EBF">
        <w:rPr>
          <w:rFonts w:cs="Times New Roman"/>
          <w:b w:val="0"/>
          <w:color w:val="000000" w:themeColor="text1"/>
          <w:sz w:val="24"/>
          <w:szCs w:val="24"/>
        </w:rPr>
        <w:t>. We</w:t>
      </w:r>
      <w:r w:rsidR="00233B42" w:rsidRPr="00F96EBF">
        <w:rPr>
          <w:rFonts w:cs="Times New Roman"/>
          <w:b w:val="0"/>
          <w:color w:val="000000" w:themeColor="text1"/>
          <w:sz w:val="24"/>
          <w:szCs w:val="24"/>
        </w:rPr>
        <w:t xml:space="preserve"> </w:t>
      </w:r>
      <w:r w:rsidR="00FA1DFF" w:rsidRPr="00F96EBF">
        <w:rPr>
          <w:rFonts w:cs="Times New Roman"/>
          <w:b w:val="0"/>
          <w:color w:val="000000" w:themeColor="text1"/>
          <w:sz w:val="24"/>
          <w:szCs w:val="24"/>
        </w:rPr>
        <w:t>focus on</w:t>
      </w:r>
      <w:r w:rsidR="00233B42" w:rsidRPr="00F96EBF">
        <w:rPr>
          <w:rFonts w:cs="Times New Roman"/>
          <w:b w:val="0"/>
          <w:color w:val="000000" w:themeColor="text1"/>
          <w:sz w:val="24"/>
          <w:szCs w:val="24"/>
        </w:rPr>
        <w:t xml:space="preserve"> </w:t>
      </w:r>
      <w:r w:rsidRPr="00F96EBF">
        <w:rPr>
          <w:rFonts w:cs="Times New Roman"/>
          <w:b w:val="0"/>
          <w:color w:val="000000" w:themeColor="text1"/>
          <w:sz w:val="24"/>
          <w:szCs w:val="24"/>
        </w:rPr>
        <w:t>region</w:t>
      </w:r>
      <w:r w:rsidR="00FA1DFF" w:rsidRPr="00F96EBF">
        <w:rPr>
          <w:rFonts w:cs="Times New Roman"/>
          <w:b w:val="0"/>
          <w:color w:val="000000" w:themeColor="text1"/>
          <w:sz w:val="24"/>
          <w:szCs w:val="24"/>
        </w:rPr>
        <w:t>al</w:t>
      </w:r>
      <w:r w:rsidRPr="00F96EBF">
        <w:rPr>
          <w:rFonts w:cs="Times New Roman"/>
          <w:b w:val="0"/>
          <w:color w:val="000000" w:themeColor="text1"/>
          <w:sz w:val="24"/>
          <w:szCs w:val="24"/>
        </w:rPr>
        <w:t xml:space="preserve"> and gender </w:t>
      </w:r>
      <w:r w:rsidR="00FA1DFF" w:rsidRPr="00F96EBF">
        <w:rPr>
          <w:rFonts w:cs="Times New Roman"/>
          <w:b w:val="0"/>
          <w:color w:val="000000" w:themeColor="text1"/>
          <w:sz w:val="24"/>
          <w:szCs w:val="24"/>
        </w:rPr>
        <w:t>inequalities</w:t>
      </w:r>
      <w:r w:rsidR="00AF2BCF" w:rsidRPr="00F96EBF">
        <w:rPr>
          <w:rFonts w:cs="Times New Roman"/>
          <w:b w:val="0"/>
          <w:color w:val="000000" w:themeColor="text1"/>
          <w:sz w:val="24"/>
          <w:szCs w:val="24"/>
        </w:rPr>
        <w:t xml:space="preserve"> in </w:t>
      </w:r>
      <w:r w:rsidR="00AF2BCF" w:rsidRPr="00614657">
        <w:rPr>
          <w:rFonts w:cs="Times New Roman"/>
          <w:b w:val="0"/>
          <w:color w:val="000000" w:themeColor="text1"/>
          <w:sz w:val="24"/>
          <w:szCs w:val="24"/>
        </w:rPr>
        <w:t xml:space="preserve">Spain, </w:t>
      </w:r>
      <w:r w:rsidR="007337AC" w:rsidRPr="00614657">
        <w:rPr>
          <w:rFonts w:cs="Times New Roman"/>
          <w:b w:val="0"/>
          <w:color w:val="000000" w:themeColor="text1"/>
          <w:sz w:val="24"/>
          <w:szCs w:val="24"/>
        </w:rPr>
        <w:t xml:space="preserve">where </w:t>
      </w:r>
      <w:r w:rsidR="0073048C" w:rsidRPr="00614657">
        <w:rPr>
          <w:rFonts w:cs="Times New Roman"/>
          <w:b w:val="0"/>
          <w:color w:val="000000" w:themeColor="text1"/>
          <w:sz w:val="24"/>
          <w:szCs w:val="24"/>
        </w:rPr>
        <w:t>early school leaving rates</w:t>
      </w:r>
      <w:r w:rsidR="007337AC" w:rsidRPr="00614657">
        <w:rPr>
          <w:rFonts w:cs="Times New Roman"/>
          <w:b w:val="0"/>
          <w:color w:val="000000" w:themeColor="text1"/>
          <w:sz w:val="24"/>
          <w:szCs w:val="24"/>
        </w:rPr>
        <w:t xml:space="preserve"> are the highest</w:t>
      </w:r>
      <w:r w:rsidR="0073048C" w:rsidRPr="00614657">
        <w:rPr>
          <w:rFonts w:cs="Times New Roman"/>
          <w:b w:val="0"/>
          <w:color w:val="000000" w:themeColor="text1"/>
          <w:sz w:val="24"/>
          <w:szCs w:val="24"/>
        </w:rPr>
        <w:t xml:space="preserve"> </w:t>
      </w:r>
      <w:r w:rsidR="00D643BC" w:rsidRPr="00614657">
        <w:rPr>
          <w:rFonts w:cs="Times New Roman"/>
          <w:b w:val="0"/>
          <w:color w:val="000000" w:themeColor="text1"/>
          <w:sz w:val="24"/>
          <w:szCs w:val="24"/>
        </w:rPr>
        <w:t>in</w:t>
      </w:r>
      <w:r w:rsidR="0073048C" w:rsidRPr="00614657">
        <w:rPr>
          <w:rFonts w:cs="Times New Roman"/>
          <w:b w:val="0"/>
          <w:color w:val="000000" w:themeColor="text1"/>
          <w:sz w:val="24"/>
          <w:szCs w:val="24"/>
        </w:rPr>
        <w:t xml:space="preserve"> the </w:t>
      </w:r>
      <w:r w:rsidR="0073048C" w:rsidRPr="00F96EBF">
        <w:rPr>
          <w:rFonts w:cs="Times New Roman"/>
          <w:b w:val="0"/>
          <w:color w:val="000000" w:themeColor="text1"/>
          <w:sz w:val="24"/>
          <w:szCs w:val="24"/>
        </w:rPr>
        <w:t>European Union</w:t>
      </w:r>
      <w:r w:rsidR="00DE782D" w:rsidRPr="00F96EBF">
        <w:rPr>
          <w:rFonts w:cs="Times New Roman"/>
          <w:b w:val="0"/>
          <w:color w:val="000000" w:themeColor="text1"/>
          <w:sz w:val="24"/>
          <w:szCs w:val="24"/>
        </w:rPr>
        <w:t xml:space="preserve">. </w:t>
      </w:r>
      <w:r w:rsidR="00763E43" w:rsidRPr="00F96EBF">
        <w:rPr>
          <w:rFonts w:cs="Times New Roman"/>
          <w:b w:val="0"/>
          <w:color w:val="000000" w:themeColor="text1"/>
          <w:sz w:val="24"/>
          <w:szCs w:val="24"/>
        </w:rPr>
        <w:t>T</w:t>
      </w:r>
      <w:r w:rsidRPr="00F96EBF">
        <w:rPr>
          <w:rFonts w:cs="Times New Roman"/>
          <w:b w:val="0"/>
          <w:color w:val="000000" w:themeColor="text1"/>
          <w:sz w:val="24"/>
          <w:szCs w:val="24"/>
        </w:rPr>
        <w:t xml:space="preserve">he results </w:t>
      </w:r>
      <w:r w:rsidR="00804EFD" w:rsidRPr="00F96EBF">
        <w:rPr>
          <w:rFonts w:cs="Times New Roman"/>
          <w:b w:val="0"/>
          <w:color w:val="000000" w:themeColor="text1"/>
          <w:sz w:val="24"/>
          <w:szCs w:val="24"/>
        </w:rPr>
        <w:t xml:space="preserve">confirm the </w:t>
      </w:r>
      <w:r w:rsidR="00AF2BCF" w:rsidRPr="00F96EBF">
        <w:rPr>
          <w:rFonts w:cs="Times New Roman"/>
          <w:b w:val="0"/>
          <w:color w:val="000000" w:themeColor="text1"/>
          <w:sz w:val="24"/>
          <w:szCs w:val="24"/>
        </w:rPr>
        <w:t xml:space="preserve">correlation between weak </w:t>
      </w:r>
      <w:r w:rsidR="00804EFD" w:rsidRPr="00F96EBF">
        <w:rPr>
          <w:rFonts w:cs="Times New Roman"/>
          <w:b w:val="0"/>
          <w:color w:val="000000" w:themeColor="text1"/>
          <w:sz w:val="24"/>
          <w:szCs w:val="24"/>
        </w:rPr>
        <w:t xml:space="preserve">scholastic performance </w:t>
      </w:r>
      <w:r w:rsidR="00AF2BCF" w:rsidRPr="00F96EBF">
        <w:rPr>
          <w:rFonts w:cs="Times New Roman"/>
          <w:b w:val="0"/>
          <w:color w:val="000000" w:themeColor="text1"/>
          <w:sz w:val="24"/>
          <w:szCs w:val="24"/>
        </w:rPr>
        <w:t>and</w:t>
      </w:r>
      <w:r w:rsidR="00804EFD" w:rsidRPr="00F96EBF">
        <w:rPr>
          <w:rFonts w:cs="Times New Roman"/>
          <w:b w:val="0"/>
          <w:color w:val="000000" w:themeColor="text1"/>
          <w:sz w:val="24"/>
          <w:szCs w:val="24"/>
        </w:rPr>
        <w:t xml:space="preserve"> early school leaving</w:t>
      </w:r>
      <w:r w:rsidR="00DE782D" w:rsidRPr="00F96EBF">
        <w:rPr>
          <w:rFonts w:cs="Times New Roman"/>
          <w:b w:val="0"/>
          <w:color w:val="000000" w:themeColor="text1"/>
          <w:sz w:val="24"/>
          <w:szCs w:val="24"/>
        </w:rPr>
        <w:t xml:space="preserve">. They </w:t>
      </w:r>
      <w:r w:rsidR="004D203D" w:rsidRPr="00F96EBF">
        <w:rPr>
          <w:rFonts w:cs="Times New Roman"/>
          <w:b w:val="0"/>
          <w:color w:val="000000" w:themeColor="text1"/>
          <w:sz w:val="24"/>
          <w:szCs w:val="24"/>
        </w:rPr>
        <w:t xml:space="preserve">also </w:t>
      </w:r>
      <w:r w:rsidR="00DE782D" w:rsidRPr="00F96EBF">
        <w:rPr>
          <w:rFonts w:cs="Times New Roman"/>
          <w:b w:val="0"/>
          <w:color w:val="000000" w:themeColor="text1"/>
          <w:sz w:val="24"/>
          <w:szCs w:val="24"/>
        </w:rPr>
        <w:t>reveal</w:t>
      </w:r>
      <w:r w:rsidR="00804EFD" w:rsidRPr="00F96EBF">
        <w:rPr>
          <w:rFonts w:cs="Times New Roman"/>
          <w:b w:val="0"/>
          <w:color w:val="000000" w:themeColor="text1"/>
          <w:sz w:val="24"/>
          <w:szCs w:val="24"/>
        </w:rPr>
        <w:t xml:space="preserve"> </w:t>
      </w:r>
      <w:r w:rsidR="005A3BAC" w:rsidRPr="00F96EBF">
        <w:rPr>
          <w:rFonts w:cs="Times New Roman"/>
          <w:b w:val="0"/>
          <w:color w:val="000000" w:themeColor="text1"/>
          <w:sz w:val="24"/>
          <w:szCs w:val="24"/>
        </w:rPr>
        <w:t>that regional and gender imbalances persist</w:t>
      </w:r>
      <w:r w:rsidR="00D8027C" w:rsidRPr="00F96EBF">
        <w:rPr>
          <w:rFonts w:cs="Times New Roman"/>
          <w:b w:val="0"/>
          <w:color w:val="000000" w:themeColor="text1"/>
          <w:sz w:val="24"/>
          <w:szCs w:val="24"/>
        </w:rPr>
        <w:t>.</w:t>
      </w:r>
    </w:p>
    <w:p w14:paraId="0603A07F" w14:textId="77777777" w:rsidR="009D33E4" w:rsidRPr="00F96EBF" w:rsidRDefault="009D33E4" w:rsidP="006D08A5">
      <w:pPr>
        <w:pStyle w:val="PalabraClave"/>
        <w:spacing w:line="240" w:lineRule="auto"/>
        <w:ind w:firstLine="0"/>
        <w:jc w:val="left"/>
        <w:rPr>
          <w:rFonts w:cs="Times New Roman"/>
          <w:b/>
          <w:i w:val="0"/>
          <w:color w:val="000000" w:themeColor="text1"/>
          <w:sz w:val="24"/>
        </w:rPr>
      </w:pPr>
    </w:p>
    <w:p w14:paraId="2779B537" w14:textId="249A3372" w:rsidR="00E058B0" w:rsidRPr="00F96EBF" w:rsidRDefault="00236CCC" w:rsidP="006D08A5">
      <w:pPr>
        <w:pStyle w:val="PalabraClave"/>
        <w:spacing w:line="240" w:lineRule="auto"/>
        <w:ind w:firstLine="0"/>
        <w:jc w:val="left"/>
        <w:rPr>
          <w:rFonts w:cs="Times New Roman"/>
          <w:i w:val="0"/>
          <w:color w:val="000000" w:themeColor="text1"/>
          <w:sz w:val="24"/>
        </w:rPr>
      </w:pPr>
      <w:r w:rsidRPr="00F96EBF">
        <w:rPr>
          <w:rFonts w:cs="Times New Roman"/>
          <w:b/>
          <w:i w:val="0"/>
          <w:color w:val="000000" w:themeColor="text1"/>
          <w:sz w:val="24"/>
        </w:rPr>
        <w:t>KEYWORDS:</w:t>
      </w:r>
      <w:r w:rsidR="00E058B0" w:rsidRPr="00F96EBF">
        <w:rPr>
          <w:rFonts w:cs="Times New Roman"/>
          <w:color w:val="000000" w:themeColor="text1"/>
          <w:sz w:val="24"/>
        </w:rPr>
        <w:t xml:space="preserve"> </w:t>
      </w:r>
      <w:r w:rsidR="00E058B0" w:rsidRPr="00F96EBF">
        <w:rPr>
          <w:rFonts w:cs="Times New Roman"/>
          <w:i w:val="0"/>
          <w:color w:val="000000" w:themeColor="text1"/>
          <w:sz w:val="24"/>
        </w:rPr>
        <w:t>early school leaving</w:t>
      </w:r>
      <w:r w:rsidRPr="00F96EBF">
        <w:rPr>
          <w:rFonts w:cs="Times New Roman"/>
          <w:i w:val="0"/>
          <w:color w:val="000000" w:themeColor="text1"/>
          <w:sz w:val="24"/>
        </w:rPr>
        <w:t>,</w:t>
      </w:r>
      <w:r w:rsidR="00E058B0" w:rsidRPr="00F96EBF">
        <w:rPr>
          <w:rFonts w:cs="Times New Roman"/>
          <w:i w:val="0"/>
          <w:color w:val="000000" w:themeColor="text1"/>
          <w:sz w:val="24"/>
        </w:rPr>
        <w:t xml:space="preserve"> </w:t>
      </w:r>
      <w:r w:rsidR="002F6933" w:rsidRPr="00F96EBF">
        <w:rPr>
          <w:rFonts w:cs="Times New Roman"/>
          <w:i w:val="0"/>
          <w:color w:val="000000" w:themeColor="text1"/>
          <w:sz w:val="24"/>
        </w:rPr>
        <w:t>scholastic performance</w:t>
      </w:r>
      <w:r w:rsidRPr="00F96EBF">
        <w:rPr>
          <w:rFonts w:cs="Times New Roman"/>
          <w:i w:val="0"/>
          <w:color w:val="000000" w:themeColor="text1"/>
          <w:sz w:val="24"/>
        </w:rPr>
        <w:t>,</w:t>
      </w:r>
      <w:r w:rsidR="00E058B0" w:rsidRPr="00F96EBF">
        <w:rPr>
          <w:rFonts w:cs="Times New Roman"/>
          <w:i w:val="0"/>
          <w:color w:val="000000" w:themeColor="text1"/>
          <w:sz w:val="24"/>
        </w:rPr>
        <w:t xml:space="preserve"> gender analysis</w:t>
      </w:r>
      <w:r w:rsidRPr="00F96EBF">
        <w:rPr>
          <w:rFonts w:cs="Times New Roman"/>
          <w:i w:val="0"/>
          <w:color w:val="000000" w:themeColor="text1"/>
          <w:sz w:val="24"/>
        </w:rPr>
        <w:t>,</w:t>
      </w:r>
      <w:r w:rsidR="00E058B0" w:rsidRPr="00F96EBF">
        <w:rPr>
          <w:rFonts w:cs="Times New Roman"/>
          <w:i w:val="0"/>
          <w:color w:val="000000" w:themeColor="text1"/>
          <w:sz w:val="24"/>
        </w:rPr>
        <w:t xml:space="preserve"> regional analysis</w:t>
      </w:r>
      <w:r w:rsidRPr="00F96EBF">
        <w:rPr>
          <w:rFonts w:cs="Times New Roman"/>
          <w:i w:val="0"/>
          <w:color w:val="000000" w:themeColor="text1"/>
          <w:sz w:val="24"/>
        </w:rPr>
        <w:t>,</w:t>
      </w:r>
      <w:r w:rsidR="00E058B0" w:rsidRPr="00F96EBF">
        <w:rPr>
          <w:rFonts w:cs="Times New Roman"/>
          <w:i w:val="0"/>
          <w:color w:val="000000" w:themeColor="text1"/>
          <w:sz w:val="24"/>
        </w:rPr>
        <w:t xml:space="preserve"> </w:t>
      </w:r>
      <w:r w:rsidR="00763E43" w:rsidRPr="00614657">
        <w:rPr>
          <w:rFonts w:cs="Times New Roman"/>
          <w:i w:val="0"/>
          <w:color w:val="000000" w:themeColor="text1"/>
          <w:sz w:val="24"/>
        </w:rPr>
        <w:t>disengagement</w:t>
      </w:r>
      <w:r w:rsidRPr="00614657">
        <w:rPr>
          <w:rFonts w:cs="Times New Roman"/>
          <w:i w:val="0"/>
          <w:color w:val="000000" w:themeColor="text1"/>
          <w:sz w:val="24"/>
        </w:rPr>
        <w:t>, Spain</w:t>
      </w:r>
    </w:p>
    <w:p w14:paraId="279A5262" w14:textId="77777777" w:rsidR="009D33E4" w:rsidRPr="00F96EBF" w:rsidRDefault="009D33E4" w:rsidP="006D08A5">
      <w:pPr>
        <w:rPr>
          <w:color w:val="000000" w:themeColor="text1"/>
          <w:lang w:val="en-GB"/>
        </w:rPr>
      </w:pPr>
      <w:bookmarkStart w:id="1" w:name="_Hlk2413841"/>
    </w:p>
    <w:p w14:paraId="0329CA36" w14:textId="69CACECE" w:rsidR="00E058B0" w:rsidRPr="00F96EBF" w:rsidRDefault="00E058B0" w:rsidP="006353A8">
      <w:pPr>
        <w:rPr>
          <w:b/>
          <w:color w:val="000000" w:themeColor="text1"/>
          <w:lang w:val="en-GB"/>
        </w:rPr>
      </w:pPr>
      <w:r w:rsidRPr="00F96EBF">
        <w:rPr>
          <w:b/>
          <w:color w:val="000000" w:themeColor="text1"/>
          <w:lang w:val="en-GB"/>
        </w:rPr>
        <w:t>1</w:t>
      </w:r>
      <w:r w:rsidR="006353A8" w:rsidRPr="00F96EBF">
        <w:rPr>
          <w:b/>
          <w:color w:val="000000" w:themeColor="text1"/>
          <w:lang w:val="en-GB"/>
        </w:rPr>
        <w:t xml:space="preserve"> INTRODUCTION</w:t>
      </w:r>
    </w:p>
    <w:bookmarkEnd w:id="1"/>
    <w:p w14:paraId="7DC6F92C" w14:textId="6B1E3C09" w:rsidR="000969CA" w:rsidRPr="00F96EBF" w:rsidRDefault="00E058B0" w:rsidP="00BE46F9">
      <w:pPr>
        <w:jc w:val="both"/>
        <w:rPr>
          <w:color w:val="000000" w:themeColor="text1"/>
          <w:lang w:val="en-GB"/>
        </w:rPr>
      </w:pPr>
      <w:r w:rsidRPr="00F96EBF">
        <w:rPr>
          <w:color w:val="000000" w:themeColor="text1"/>
          <w:lang w:val="en-GB"/>
        </w:rPr>
        <w:t xml:space="preserve">Early school leaving constitutes a social problem that has been a key </w:t>
      </w:r>
      <w:r w:rsidRPr="00614657">
        <w:rPr>
          <w:color w:val="000000" w:themeColor="text1"/>
          <w:lang w:val="en-GB"/>
        </w:rPr>
        <w:t xml:space="preserve">focus </w:t>
      </w:r>
      <w:r w:rsidR="00954DEE" w:rsidRPr="00614657">
        <w:rPr>
          <w:color w:val="000000" w:themeColor="text1"/>
          <w:lang w:val="en-GB"/>
        </w:rPr>
        <w:t>of</w:t>
      </w:r>
      <w:r w:rsidR="006353A8" w:rsidRPr="00614657">
        <w:rPr>
          <w:color w:val="000000" w:themeColor="text1"/>
          <w:lang w:val="en-GB"/>
        </w:rPr>
        <w:t xml:space="preserve"> research on</w:t>
      </w:r>
      <w:r w:rsidR="00954DEE" w:rsidRPr="00614657">
        <w:rPr>
          <w:color w:val="000000" w:themeColor="text1"/>
          <w:lang w:val="en-GB"/>
        </w:rPr>
        <w:t xml:space="preserve"> educatio</w:t>
      </w:r>
      <w:r w:rsidR="006353A8" w:rsidRPr="00614657">
        <w:rPr>
          <w:color w:val="000000" w:themeColor="text1"/>
          <w:lang w:val="en-GB"/>
        </w:rPr>
        <w:t>n</w:t>
      </w:r>
      <w:r w:rsidR="00954DEE" w:rsidRPr="00614657">
        <w:rPr>
          <w:color w:val="000000" w:themeColor="text1"/>
          <w:lang w:val="en-GB"/>
        </w:rPr>
        <w:t xml:space="preserve"> </w:t>
      </w:r>
      <w:r w:rsidRPr="00614657">
        <w:rPr>
          <w:color w:val="000000" w:themeColor="text1"/>
          <w:lang w:val="en-GB"/>
        </w:rPr>
        <w:t xml:space="preserve">and </w:t>
      </w:r>
      <w:r w:rsidRPr="00F96EBF">
        <w:rPr>
          <w:color w:val="000000" w:themeColor="text1"/>
          <w:lang w:val="en-GB"/>
        </w:rPr>
        <w:t>in the design of public policies. This is because it produces negative consequences in terms of employment, health</w:t>
      </w:r>
      <w:r w:rsidR="00DE782D" w:rsidRPr="00F96EBF">
        <w:rPr>
          <w:color w:val="000000" w:themeColor="text1"/>
          <w:lang w:val="en-GB"/>
        </w:rPr>
        <w:t>,</w:t>
      </w:r>
      <w:r w:rsidRPr="00F96EBF">
        <w:rPr>
          <w:color w:val="000000" w:themeColor="text1"/>
          <w:lang w:val="en-GB"/>
        </w:rPr>
        <w:t xml:space="preserve"> and well-being</w:t>
      </w:r>
      <w:r w:rsidR="00954DEE" w:rsidRPr="00F96EBF">
        <w:rPr>
          <w:color w:val="000000" w:themeColor="text1"/>
          <w:lang w:val="en-GB"/>
        </w:rPr>
        <w:t xml:space="preserve"> </w:t>
      </w:r>
      <w:r w:rsidRPr="00F96EBF">
        <w:rPr>
          <w:color w:val="000000" w:themeColor="text1"/>
          <w:lang w:val="en-GB"/>
        </w:rPr>
        <w:t>(</w:t>
      </w:r>
      <w:proofErr w:type="spellStart"/>
      <w:r w:rsidRPr="00F96EBF">
        <w:rPr>
          <w:color w:val="000000" w:themeColor="text1"/>
          <w:lang w:val="en-GB"/>
        </w:rPr>
        <w:t>Gitschthaler</w:t>
      </w:r>
      <w:proofErr w:type="spellEnd"/>
      <w:r w:rsidRPr="00F96EBF">
        <w:rPr>
          <w:color w:val="000000" w:themeColor="text1"/>
          <w:lang w:val="en-GB"/>
        </w:rPr>
        <w:t xml:space="preserve"> &amp; </w:t>
      </w:r>
      <w:proofErr w:type="spellStart"/>
      <w:r w:rsidRPr="00F96EBF">
        <w:rPr>
          <w:color w:val="000000" w:themeColor="text1"/>
          <w:lang w:val="en-GB"/>
        </w:rPr>
        <w:t>Nairz</w:t>
      </w:r>
      <w:proofErr w:type="spellEnd"/>
      <w:r w:rsidRPr="00F96EBF">
        <w:rPr>
          <w:color w:val="000000" w:themeColor="text1"/>
          <w:lang w:val="en-GB"/>
        </w:rPr>
        <w:t>-Wirth, 2018). The Europe 2020 Strategy considers the reduction of this problem a</w:t>
      </w:r>
      <w:r w:rsidR="006353A8" w:rsidRPr="00F96EBF">
        <w:rPr>
          <w:color w:val="000000" w:themeColor="text1"/>
          <w:lang w:val="en-GB"/>
        </w:rPr>
        <w:t>n</w:t>
      </w:r>
      <w:r w:rsidR="006353A8" w:rsidRPr="00F96EBF">
        <w:rPr>
          <w:color w:val="0432FF"/>
          <w:lang w:val="en-GB"/>
        </w:rPr>
        <w:t xml:space="preserve"> </w:t>
      </w:r>
      <w:r w:rsidR="006353A8" w:rsidRPr="00614657">
        <w:rPr>
          <w:color w:val="000000" w:themeColor="text1"/>
          <w:lang w:val="en-GB"/>
        </w:rPr>
        <w:t>important</w:t>
      </w:r>
      <w:r w:rsidRPr="00614657">
        <w:rPr>
          <w:color w:val="000000" w:themeColor="text1"/>
          <w:lang w:val="en-GB"/>
        </w:rPr>
        <w:t xml:space="preserve"> </w:t>
      </w:r>
      <w:r w:rsidRPr="00F96EBF">
        <w:rPr>
          <w:color w:val="000000" w:themeColor="text1"/>
          <w:lang w:val="en-GB"/>
        </w:rPr>
        <w:t xml:space="preserve">target, and </w:t>
      </w:r>
      <w:r w:rsidR="00DE782D" w:rsidRPr="00F96EBF">
        <w:rPr>
          <w:color w:val="000000" w:themeColor="text1"/>
          <w:lang w:val="en-GB"/>
        </w:rPr>
        <w:t xml:space="preserve">several </w:t>
      </w:r>
      <w:r w:rsidRPr="00F96EBF">
        <w:rPr>
          <w:color w:val="000000" w:themeColor="text1"/>
          <w:lang w:val="en-GB"/>
        </w:rPr>
        <w:t xml:space="preserve">governments have implemented policies and measures to </w:t>
      </w:r>
      <w:r w:rsidR="00B33D96" w:rsidRPr="00F96EBF">
        <w:rPr>
          <w:color w:val="000000" w:themeColor="text1"/>
          <w:lang w:val="en-GB"/>
        </w:rPr>
        <w:t xml:space="preserve">address </w:t>
      </w:r>
      <w:r w:rsidRPr="00F96EBF">
        <w:rPr>
          <w:color w:val="000000" w:themeColor="text1"/>
          <w:lang w:val="en-GB"/>
        </w:rPr>
        <w:t xml:space="preserve">it, with the objective of reducing the </w:t>
      </w:r>
      <w:r w:rsidR="002D1D70" w:rsidRPr="00F96EBF">
        <w:rPr>
          <w:color w:val="000000" w:themeColor="text1"/>
          <w:lang w:val="en-GB"/>
        </w:rPr>
        <w:t>E</w:t>
      </w:r>
      <w:r w:rsidR="00954DEE" w:rsidRPr="00F96EBF">
        <w:rPr>
          <w:color w:val="000000" w:themeColor="text1"/>
          <w:lang w:val="en-GB"/>
        </w:rPr>
        <w:t xml:space="preserve">uropean </w:t>
      </w:r>
      <w:r w:rsidR="002D1D70" w:rsidRPr="00F96EBF">
        <w:rPr>
          <w:color w:val="000000" w:themeColor="text1"/>
          <w:lang w:val="en-GB"/>
        </w:rPr>
        <w:t>U</w:t>
      </w:r>
      <w:r w:rsidR="00954DEE" w:rsidRPr="00F96EBF">
        <w:rPr>
          <w:color w:val="000000" w:themeColor="text1"/>
          <w:lang w:val="en-GB"/>
        </w:rPr>
        <w:t>nion (EU)</w:t>
      </w:r>
      <w:r w:rsidRPr="00F96EBF">
        <w:rPr>
          <w:color w:val="000000" w:themeColor="text1"/>
          <w:lang w:val="en-GB"/>
        </w:rPr>
        <w:t xml:space="preserve"> average for </w:t>
      </w:r>
      <w:r w:rsidR="00BE46F9" w:rsidRPr="00F96EBF">
        <w:rPr>
          <w:color w:val="000000" w:themeColor="text1"/>
          <w:lang w:val="en-GB"/>
        </w:rPr>
        <w:t xml:space="preserve">early school leaving </w:t>
      </w:r>
      <w:r w:rsidRPr="00F96EBF">
        <w:rPr>
          <w:color w:val="000000" w:themeColor="text1"/>
          <w:lang w:val="en-GB"/>
        </w:rPr>
        <w:t xml:space="preserve">to less than 10% by 2020 (European Commission, 2010). </w:t>
      </w:r>
    </w:p>
    <w:p w14:paraId="51A9F143" w14:textId="77777777" w:rsidR="00BE46F9" w:rsidRPr="00F96EBF" w:rsidRDefault="00BE46F9" w:rsidP="006D08A5">
      <w:pPr>
        <w:rPr>
          <w:color w:val="000000" w:themeColor="text1"/>
          <w:lang w:val="en-GB"/>
        </w:rPr>
      </w:pPr>
    </w:p>
    <w:p w14:paraId="5CA9EAD2" w14:textId="696B2679" w:rsidR="00AE3DB1" w:rsidRPr="00F96EBF" w:rsidRDefault="00BE46F9" w:rsidP="00EB1611">
      <w:pPr>
        <w:jc w:val="both"/>
        <w:rPr>
          <w:color w:val="000000" w:themeColor="text1"/>
          <w:lang w:val="en-GB"/>
        </w:rPr>
      </w:pPr>
      <w:r w:rsidRPr="00614657">
        <w:rPr>
          <w:color w:val="000000" w:themeColor="text1"/>
          <w:lang w:val="en-GB"/>
        </w:rPr>
        <w:t xml:space="preserve">Early school leaving </w:t>
      </w:r>
      <w:r w:rsidR="00F40B83" w:rsidRPr="00614657">
        <w:rPr>
          <w:color w:val="000000" w:themeColor="text1"/>
          <w:lang w:val="en-GB"/>
        </w:rPr>
        <w:t xml:space="preserve">is </w:t>
      </w:r>
      <w:r w:rsidR="00F40B83" w:rsidRPr="00F96EBF">
        <w:rPr>
          <w:color w:val="000000" w:themeColor="text1"/>
          <w:lang w:val="en-GB"/>
        </w:rPr>
        <w:t xml:space="preserve">a complex phenomenon that </w:t>
      </w:r>
      <w:r w:rsidR="00C3301F" w:rsidRPr="00F96EBF">
        <w:rPr>
          <w:color w:val="000000" w:themeColor="text1"/>
          <w:lang w:val="en-GB"/>
        </w:rPr>
        <w:t xml:space="preserve">has </w:t>
      </w:r>
      <w:r w:rsidR="00F40B83" w:rsidRPr="00F96EBF">
        <w:rPr>
          <w:color w:val="000000" w:themeColor="text1"/>
          <w:lang w:val="en-GB"/>
        </w:rPr>
        <w:t xml:space="preserve">multiple causes and </w:t>
      </w:r>
      <w:r w:rsidR="00B33D96" w:rsidRPr="00F96EBF">
        <w:rPr>
          <w:color w:val="000000" w:themeColor="text1"/>
          <w:lang w:val="en-GB"/>
        </w:rPr>
        <w:t xml:space="preserve">is affected by multiple </w:t>
      </w:r>
      <w:r w:rsidR="00F40B83" w:rsidRPr="00F96EBF">
        <w:rPr>
          <w:color w:val="000000" w:themeColor="text1"/>
          <w:lang w:val="en-GB"/>
        </w:rPr>
        <w:t>factors</w:t>
      </w:r>
      <w:r w:rsidR="00B33D96" w:rsidRPr="00F96EBF">
        <w:rPr>
          <w:color w:val="000000" w:themeColor="text1"/>
          <w:lang w:val="en-GB"/>
        </w:rPr>
        <w:t>, with</w:t>
      </w:r>
      <w:r w:rsidR="00F40B83" w:rsidRPr="00F96EBF">
        <w:rPr>
          <w:color w:val="000000" w:themeColor="text1"/>
          <w:lang w:val="en-GB"/>
        </w:rPr>
        <w:t xml:space="preserve"> different dimensions </w:t>
      </w:r>
      <w:r w:rsidR="009F1315" w:rsidRPr="00F96EBF">
        <w:rPr>
          <w:color w:val="000000" w:themeColor="text1"/>
          <w:lang w:val="en-GB"/>
        </w:rPr>
        <w:t>that are usually interconnected</w:t>
      </w:r>
      <w:r w:rsidR="002403A4" w:rsidRPr="00614657">
        <w:rPr>
          <w:color w:val="000000" w:themeColor="text1"/>
          <w:lang w:val="en-GB"/>
        </w:rPr>
        <w:t>.</w:t>
      </w:r>
      <w:r w:rsidR="00B43280" w:rsidRPr="00614657">
        <w:rPr>
          <w:color w:val="000000" w:themeColor="text1"/>
          <w:lang w:val="en-GB"/>
        </w:rPr>
        <w:t xml:space="preserve"> </w:t>
      </w:r>
      <w:r w:rsidR="00EB1611" w:rsidRPr="00614657">
        <w:rPr>
          <w:color w:val="000000" w:themeColor="text1"/>
          <w:lang w:val="en-GB"/>
        </w:rPr>
        <w:t>A</w:t>
      </w:r>
      <w:r w:rsidR="00765219" w:rsidRPr="00614657">
        <w:rPr>
          <w:color w:val="000000" w:themeColor="text1"/>
          <w:lang w:val="en-GB"/>
        </w:rPr>
        <w:t xml:space="preserve"> vast </w:t>
      </w:r>
      <w:r w:rsidR="00765219" w:rsidRPr="00614657">
        <w:rPr>
          <w:color w:val="000000" w:themeColor="text1"/>
          <w:lang w:val="en-GB"/>
        </w:rPr>
        <w:lastRenderedPageBreak/>
        <w:t>literature and</w:t>
      </w:r>
      <w:r w:rsidR="00B33D96" w:rsidRPr="00614657">
        <w:rPr>
          <w:color w:val="000000" w:themeColor="text1"/>
          <w:lang w:val="en-GB"/>
        </w:rPr>
        <w:t xml:space="preserve"> large number of </w:t>
      </w:r>
      <w:r w:rsidR="00765219" w:rsidRPr="00614657">
        <w:rPr>
          <w:color w:val="000000" w:themeColor="text1"/>
          <w:lang w:val="en-GB"/>
        </w:rPr>
        <w:t xml:space="preserve">policy documents </w:t>
      </w:r>
      <w:r w:rsidR="00B33D96" w:rsidRPr="00614657">
        <w:rPr>
          <w:color w:val="000000" w:themeColor="text1"/>
          <w:lang w:val="en-GB"/>
        </w:rPr>
        <w:t>demonstrate</w:t>
      </w:r>
      <w:r w:rsidR="00EB1611" w:rsidRPr="00614657">
        <w:rPr>
          <w:color w:val="000000" w:themeColor="text1"/>
          <w:lang w:val="en-GB"/>
        </w:rPr>
        <w:t xml:space="preserve"> </w:t>
      </w:r>
      <w:r w:rsidR="00765219" w:rsidRPr="00614657">
        <w:rPr>
          <w:color w:val="000000" w:themeColor="text1"/>
          <w:lang w:val="en-GB"/>
        </w:rPr>
        <w:t xml:space="preserve">this multifactorial nature and </w:t>
      </w:r>
      <w:r w:rsidR="00EB1611" w:rsidRPr="00614657">
        <w:rPr>
          <w:color w:val="000000" w:themeColor="text1"/>
          <w:lang w:val="en-GB"/>
        </w:rPr>
        <w:t>support the implementation of</w:t>
      </w:r>
      <w:r w:rsidR="00B33D96" w:rsidRPr="00614657">
        <w:rPr>
          <w:color w:val="000000" w:themeColor="text1"/>
          <w:lang w:val="en-GB"/>
        </w:rPr>
        <w:t xml:space="preserve"> a</w:t>
      </w:r>
      <w:r w:rsidR="00765219" w:rsidRPr="00614657">
        <w:rPr>
          <w:color w:val="000000" w:themeColor="text1"/>
          <w:lang w:val="en-GB"/>
        </w:rPr>
        <w:t xml:space="preserve"> holistic approach</w:t>
      </w:r>
      <w:r w:rsidR="00B33D96" w:rsidRPr="00614657">
        <w:rPr>
          <w:color w:val="000000" w:themeColor="text1"/>
          <w:lang w:val="en-GB"/>
        </w:rPr>
        <w:t xml:space="preserve"> </w:t>
      </w:r>
      <w:r w:rsidR="00765219" w:rsidRPr="00F96EBF">
        <w:rPr>
          <w:color w:val="000000" w:themeColor="text1"/>
          <w:lang w:val="en-GB"/>
        </w:rPr>
        <w:t xml:space="preserve">(Downes, </w:t>
      </w:r>
      <w:proofErr w:type="spellStart"/>
      <w:r w:rsidR="00765219" w:rsidRPr="00F96EBF">
        <w:rPr>
          <w:color w:val="000000" w:themeColor="text1"/>
          <w:lang w:val="en-GB"/>
        </w:rPr>
        <w:t>Nairz</w:t>
      </w:r>
      <w:proofErr w:type="spellEnd"/>
      <w:r w:rsidR="00765219" w:rsidRPr="00F96EBF">
        <w:rPr>
          <w:color w:val="000000" w:themeColor="text1"/>
          <w:lang w:val="en-GB"/>
        </w:rPr>
        <w:t xml:space="preserve">-Wirth, &amp; </w:t>
      </w:r>
      <w:proofErr w:type="spellStart"/>
      <w:r w:rsidR="00765219" w:rsidRPr="00F96EBF">
        <w:rPr>
          <w:color w:val="000000" w:themeColor="text1"/>
          <w:lang w:val="en-GB"/>
        </w:rPr>
        <w:t>Rusinaitè</w:t>
      </w:r>
      <w:proofErr w:type="spellEnd"/>
      <w:r w:rsidR="00765219" w:rsidRPr="00F96EBF">
        <w:rPr>
          <w:color w:val="000000" w:themeColor="text1"/>
          <w:lang w:val="en-GB"/>
        </w:rPr>
        <w:t>, 2017</w:t>
      </w:r>
      <w:r w:rsidR="00D01949" w:rsidRPr="00F96EBF">
        <w:rPr>
          <w:color w:val="000000" w:themeColor="text1"/>
          <w:lang w:val="en-GB"/>
        </w:rPr>
        <w:t>; European Commission, 2015</w:t>
      </w:r>
      <w:r w:rsidR="00986996" w:rsidRPr="00F96EBF">
        <w:rPr>
          <w:color w:val="000000" w:themeColor="text1"/>
          <w:lang w:val="en-GB"/>
        </w:rPr>
        <w:t>; González</w:t>
      </w:r>
      <w:r w:rsidR="009F6459" w:rsidRPr="00F96EBF">
        <w:rPr>
          <w:color w:val="000000" w:themeColor="text1"/>
          <w:lang w:val="en-GB"/>
        </w:rPr>
        <w:t>-</w:t>
      </w:r>
      <w:r w:rsidR="00986996" w:rsidRPr="00F96EBF">
        <w:rPr>
          <w:color w:val="000000" w:themeColor="text1"/>
          <w:lang w:val="en-GB"/>
        </w:rPr>
        <w:t xml:space="preserve">Rodríguez, Vieira, &amp; Vidal, </w:t>
      </w:r>
      <w:r w:rsidR="009F6459" w:rsidRPr="00F96EBF">
        <w:rPr>
          <w:color w:val="000000" w:themeColor="text1"/>
          <w:lang w:val="en-GB"/>
        </w:rPr>
        <w:t>2019</w:t>
      </w:r>
      <w:r w:rsidR="00765219" w:rsidRPr="00F96EBF">
        <w:rPr>
          <w:color w:val="000000" w:themeColor="text1"/>
          <w:lang w:val="en-GB"/>
        </w:rPr>
        <w:t>).</w:t>
      </w:r>
      <w:r w:rsidR="00F40B83" w:rsidRPr="00F96EBF">
        <w:rPr>
          <w:color w:val="000000" w:themeColor="text1"/>
          <w:lang w:val="en-GB"/>
        </w:rPr>
        <w:t xml:space="preserve"> </w:t>
      </w:r>
      <w:r w:rsidR="002403A4" w:rsidRPr="00614657">
        <w:rPr>
          <w:color w:val="000000" w:themeColor="text1"/>
          <w:lang w:val="en-GB"/>
        </w:rPr>
        <w:t>Socio</w:t>
      </w:r>
      <w:r w:rsidR="00677DCE" w:rsidRPr="00614657">
        <w:rPr>
          <w:color w:val="000000" w:themeColor="text1"/>
          <w:lang w:val="en-GB"/>
        </w:rPr>
        <w:t>-</w:t>
      </w:r>
      <w:r w:rsidR="002403A4" w:rsidRPr="00614657">
        <w:rPr>
          <w:color w:val="000000" w:themeColor="text1"/>
          <w:lang w:val="en-GB"/>
        </w:rPr>
        <w:t xml:space="preserve">economic </w:t>
      </w:r>
      <w:r w:rsidR="00F40B83" w:rsidRPr="00614657">
        <w:rPr>
          <w:color w:val="000000" w:themeColor="text1"/>
          <w:lang w:val="en-GB"/>
        </w:rPr>
        <w:t>conditions</w:t>
      </w:r>
      <w:r w:rsidR="002403A4" w:rsidRPr="00614657">
        <w:rPr>
          <w:color w:val="000000" w:themeColor="text1"/>
          <w:lang w:val="en-GB"/>
        </w:rPr>
        <w:t xml:space="preserve"> such as poverty</w:t>
      </w:r>
      <w:r w:rsidR="00DB1DB0" w:rsidRPr="00614657">
        <w:rPr>
          <w:color w:val="000000" w:themeColor="text1"/>
          <w:lang w:val="en-GB"/>
        </w:rPr>
        <w:t>;</w:t>
      </w:r>
      <w:r w:rsidR="0093444E" w:rsidRPr="00614657">
        <w:rPr>
          <w:color w:val="000000" w:themeColor="text1"/>
          <w:lang w:val="en-GB"/>
        </w:rPr>
        <w:t xml:space="preserve"> social exclusion</w:t>
      </w:r>
      <w:r w:rsidR="002403A4" w:rsidRPr="00614657">
        <w:rPr>
          <w:color w:val="000000" w:themeColor="text1"/>
          <w:lang w:val="en-GB"/>
        </w:rPr>
        <w:t xml:space="preserve"> or unemployment</w:t>
      </w:r>
      <w:r w:rsidR="0093444E" w:rsidRPr="00614657">
        <w:rPr>
          <w:color w:val="000000" w:themeColor="text1"/>
          <w:lang w:val="en-GB"/>
        </w:rPr>
        <w:t xml:space="preserve"> (Carrasco, Narciso, &amp; Bertr</w:t>
      </w:r>
      <w:r w:rsidR="00986996" w:rsidRPr="00614657">
        <w:rPr>
          <w:color w:val="000000" w:themeColor="text1"/>
          <w:lang w:val="en-GB"/>
        </w:rPr>
        <w:t>án, 2018; Tumino, 2017)</w:t>
      </w:r>
      <w:r w:rsidR="00DB1DB0" w:rsidRPr="00614657">
        <w:rPr>
          <w:color w:val="000000" w:themeColor="text1"/>
          <w:lang w:val="en-GB"/>
        </w:rPr>
        <w:t>;</w:t>
      </w:r>
      <w:r w:rsidR="002403A4" w:rsidRPr="00614657">
        <w:rPr>
          <w:color w:val="000000" w:themeColor="text1"/>
          <w:lang w:val="en-GB"/>
        </w:rPr>
        <w:t xml:space="preserve"> </w:t>
      </w:r>
      <w:r w:rsidR="00F40B83" w:rsidRPr="00614657">
        <w:rPr>
          <w:color w:val="000000" w:themeColor="text1"/>
          <w:lang w:val="en-GB"/>
        </w:rPr>
        <w:t>institutional context</w:t>
      </w:r>
      <w:r w:rsidR="002403A4" w:rsidRPr="00614657">
        <w:rPr>
          <w:color w:val="000000" w:themeColor="text1"/>
          <w:lang w:val="en-GB"/>
        </w:rPr>
        <w:t xml:space="preserve"> and policy intervention</w:t>
      </w:r>
      <w:r w:rsidR="00DB1DB0" w:rsidRPr="00614657">
        <w:rPr>
          <w:color w:val="000000" w:themeColor="text1"/>
          <w:lang w:val="en-GB"/>
        </w:rPr>
        <w:t>s</w:t>
      </w:r>
      <w:r w:rsidR="00986996" w:rsidRPr="00614657">
        <w:rPr>
          <w:color w:val="000000" w:themeColor="text1"/>
          <w:lang w:val="en-GB"/>
        </w:rPr>
        <w:t xml:space="preserve"> (</w:t>
      </w:r>
      <w:proofErr w:type="spellStart"/>
      <w:r w:rsidR="00986996" w:rsidRPr="00614657">
        <w:rPr>
          <w:color w:val="000000" w:themeColor="text1"/>
          <w:lang w:val="en-GB"/>
        </w:rPr>
        <w:t>Tarabini</w:t>
      </w:r>
      <w:proofErr w:type="spellEnd"/>
      <w:r w:rsidR="00986996" w:rsidRPr="00614657">
        <w:rPr>
          <w:color w:val="000000" w:themeColor="text1"/>
          <w:lang w:val="en-GB"/>
        </w:rPr>
        <w:t xml:space="preserve">, Curran, Montes, &amp; </w:t>
      </w:r>
      <w:proofErr w:type="spellStart"/>
      <w:r w:rsidR="00986996" w:rsidRPr="00614657">
        <w:rPr>
          <w:color w:val="000000" w:themeColor="text1"/>
          <w:lang w:val="en-GB"/>
        </w:rPr>
        <w:t>Parcerisa</w:t>
      </w:r>
      <w:proofErr w:type="spellEnd"/>
      <w:r w:rsidR="00986996" w:rsidRPr="00614657">
        <w:rPr>
          <w:color w:val="000000" w:themeColor="text1"/>
          <w:lang w:val="en-GB"/>
        </w:rPr>
        <w:t>, 2018)</w:t>
      </w:r>
      <w:r w:rsidR="00DB1DB0" w:rsidRPr="00614657">
        <w:rPr>
          <w:color w:val="000000" w:themeColor="text1"/>
          <w:lang w:val="en-GB"/>
        </w:rPr>
        <w:t>;</w:t>
      </w:r>
      <w:r w:rsidR="00F40B83" w:rsidRPr="00614657">
        <w:rPr>
          <w:color w:val="000000" w:themeColor="text1"/>
          <w:lang w:val="en-GB"/>
        </w:rPr>
        <w:t xml:space="preserve"> emotional and relational aspects</w:t>
      </w:r>
      <w:r w:rsidR="002403A4" w:rsidRPr="00614657">
        <w:rPr>
          <w:color w:val="000000" w:themeColor="text1"/>
          <w:lang w:val="en-GB"/>
        </w:rPr>
        <w:t xml:space="preserve"> such as loneliness </w:t>
      </w:r>
      <w:r w:rsidR="002403A4" w:rsidRPr="00F96EBF">
        <w:rPr>
          <w:color w:val="000000" w:themeColor="text1"/>
          <w:lang w:val="en-GB"/>
        </w:rPr>
        <w:t>or peer acceptance</w:t>
      </w:r>
      <w:r w:rsidR="006D4102" w:rsidRPr="00F96EBF">
        <w:rPr>
          <w:color w:val="000000" w:themeColor="text1"/>
          <w:lang w:val="en-GB"/>
        </w:rPr>
        <w:t xml:space="preserve"> (Frostad, </w:t>
      </w:r>
      <w:proofErr w:type="spellStart"/>
      <w:r w:rsidR="006D4102" w:rsidRPr="00F96EBF">
        <w:rPr>
          <w:color w:val="000000" w:themeColor="text1"/>
          <w:lang w:val="en-GB"/>
        </w:rPr>
        <w:t>Pijl</w:t>
      </w:r>
      <w:proofErr w:type="spellEnd"/>
      <w:r w:rsidR="009B71DE" w:rsidRPr="00F96EBF">
        <w:rPr>
          <w:color w:val="000000" w:themeColor="text1"/>
          <w:lang w:val="en-GB"/>
        </w:rPr>
        <w:t xml:space="preserve">, &amp; </w:t>
      </w:r>
      <w:proofErr w:type="spellStart"/>
      <w:r w:rsidR="009B71DE" w:rsidRPr="00F96EBF">
        <w:rPr>
          <w:color w:val="000000" w:themeColor="text1"/>
          <w:lang w:val="en-GB"/>
        </w:rPr>
        <w:t>Mjaavatn</w:t>
      </w:r>
      <w:proofErr w:type="spellEnd"/>
      <w:r w:rsidR="009B71DE" w:rsidRPr="00F96EBF">
        <w:rPr>
          <w:color w:val="000000" w:themeColor="text1"/>
          <w:lang w:val="en-GB"/>
        </w:rPr>
        <w:t>, 2015)</w:t>
      </w:r>
      <w:r w:rsidR="00DB1DB0" w:rsidRPr="00F96EBF">
        <w:rPr>
          <w:color w:val="0432FF"/>
          <w:lang w:val="en-GB"/>
        </w:rPr>
        <w:t>;</w:t>
      </w:r>
      <w:r w:rsidR="00F40B83" w:rsidRPr="00F96EBF">
        <w:rPr>
          <w:color w:val="000000" w:themeColor="text1"/>
          <w:lang w:val="en-GB"/>
        </w:rPr>
        <w:t xml:space="preserve"> family</w:t>
      </w:r>
      <w:r w:rsidR="00B3582D" w:rsidRPr="00F96EBF">
        <w:rPr>
          <w:color w:val="000000" w:themeColor="text1"/>
          <w:lang w:val="en-GB"/>
        </w:rPr>
        <w:t xml:space="preserve"> </w:t>
      </w:r>
      <w:r w:rsidR="000A57A0" w:rsidRPr="00F96EBF">
        <w:rPr>
          <w:color w:val="000000" w:themeColor="text1"/>
          <w:lang w:val="en-GB"/>
        </w:rPr>
        <w:t>background</w:t>
      </w:r>
      <w:r w:rsidR="00E25EAD" w:rsidRPr="00F96EBF">
        <w:rPr>
          <w:color w:val="000000" w:themeColor="text1"/>
          <w:lang w:val="en-GB"/>
        </w:rPr>
        <w:t xml:space="preserve"> (Martín</w:t>
      </w:r>
      <w:r w:rsidR="003E431D" w:rsidRPr="00F96EBF">
        <w:rPr>
          <w:color w:val="000000" w:themeColor="text1"/>
          <w:lang w:val="en-GB"/>
        </w:rPr>
        <w:t>, Alemán, Marchena, &amp; Santana, 2015)</w:t>
      </w:r>
      <w:r w:rsidR="00DB1DB0" w:rsidRPr="00F96EBF">
        <w:rPr>
          <w:color w:val="000000" w:themeColor="text1"/>
          <w:lang w:val="en-GB"/>
        </w:rPr>
        <w:t>;</w:t>
      </w:r>
      <w:r w:rsidR="00F10CFF" w:rsidRPr="00F96EBF">
        <w:rPr>
          <w:color w:val="000000" w:themeColor="text1"/>
          <w:lang w:val="en-GB"/>
        </w:rPr>
        <w:t xml:space="preserve"> </w:t>
      </w:r>
      <w:r w:rsidR="00696E51" w:rsidRPr="00F96EBF">
        <w:rPr>
          <w:color w:val="000000" w:themeColor="text1"/>
          <w:lang w:val="en-GB"/>
        </w:rPr>
        <w:t xml:space="preserve">school climate (Downes, 2013) </w:t>
      </w:r>
      <w:r w:rsidR="00F10CFF" w:rsidRPr="00F96EBF">
        <w:rPr>
          <w:color w:val="000000" w:themeColor="text1"/>
          <w:lang w:val="en-GB"/>
        </w:rPr>
        <w:t>and</w:t>
      </w:r>
      <w:r w:rsidR="000A57A0" w:rsidRPr="00F96EBF">
        <w:rPr>
          <w:color w:val="000000" w:themeColor="text1"/>
          <w:lang w:val="en-GB"/>
        </w:rPr>
        <w:t xml:space="preserve"> </w:t>
      </w:r>
      <w:r w:rsidR="009F6459" w:rsidRPr="00F96EBF">
        <w:rPr>
          <w:color w:val="000000" w:themeColor="text1"/>
          <w:lang w:val="en-GB"/>
        </w:rPr>
        <w:t xml:space="preserve">mental </w:t>
      </w:r>
      <w:r w:rsidR="000A57A0" w:rsidRPr="00F96EBF">
        <w:rPr>
          <w:color w:val="000000" w:themeColor="text1"/>
          <w:lang w:val="en-GB"/>
        </w:rPr>
        <w:t>health</w:t>
      </w:r>
      <w:r w:rsidR="00F40B83" w:rsidRPr="00F96EBF">
        <w:rPr>
          <w:color w:val="000000" w:themeColor="text1"/>
          <w:lang w:val="en-GB"/>
        </w:rPr>
        <w:t xml:space="preserve"> issues</w:t>
      </w:r>
      <w:r w:rsidR="009F6459" w:rsidRPr="00F96EBF">
        <w:rPr>
          <w:color w:val="000000" w:themeColor="text1"/>
          <w:lang w:val="en-GB"/>
        </w:rPr>
        <w:t xml:space="preserve"> (Schembri, 2019)</w:t>
      </w:r>
      <w:r w:rsidR="00DB1DB0" w:rsidRPr="00F96EBF">
        <w:rPr>
          <w:color w:val="0432FF"/>
          <w:lang w:val="en-GB"/>
        </w:rPr>
        <w:t>;</w:t>
      </w:r>
      <w:r w:rsidR="00F40B83" w:rsidRPr="00F96EBF">
        <w:rPr>
          <w:color w:val="000000" w:themeColor="text1"/>
          <w:lang w:val="en-GB"/>
        </w:rPr>
        <w:t xml:space="preserve"> </w:t>
      </w:r>
      <w:r w:rsidR="002403A4" w:rsidRPr="00F96EBF">
        <w:rPr>
          <w:color w:val="000000" w:themeColor="text1"/>
          <w:lang w:val="en-GB"/>
        </w:rPr>
        <w:t xml:space="preserve">are examples of the broad </w:t>
      </w:r>
      <w:r w:rsidR="00F10CFF" w:rsidRPr="00F96EBF">
        <w:rPr>
          <w:color w:val="000000" w:themeColor="text1"/>
          <w:lang w:val="en-GB"/>
        </w:rPr>
        <w:t xml:space="preserve">range of issues that affect </w:t>
      </w:r>
      <w:r w:rsidRPr="00F96EBF">
        <w:rPr>
          <w:color w:val="000000" w:themeColor="text1"/>
          <w:lang w:val="en-GB"/>
        </w:rPr>
        <w:t>early school leaving</w:t>
      </w:r>
      <w:r w:rsidR="00EB1611" w:rsidRPr="00F96EBF">
        <w:rPr>
          <w:color w:val="000000" w:themeColor="text1"/>
          <w:lang w:val="en-GB"/>
        </w:rPr>
        <w:t>.</w:t>
      </w:r>
    </w:p>
    <w:p w14:paraId="788B7F19" w14:textId="77777777" w:rsidR="00EB1611" w:rsidRPr="00F96EBF" w:rsidRDefault="00EB1611" w:rsidP="00EB1611">
      <w:pPr>
        <w:jc w:val="both"/>
        <w:rPr>
          <w:color w:val="000000" w:themeColor="text1"/>
          <w:lang w:val="en-GB"/>
        </w:rPr>
      </w:pPr>
    </w:p>
    <w:p w14:paraId="0F3F3714" w14:textId="24D31A6F" w:rsidR="00AE3DB1" w:rsidRPr="00F96EBF" w:rsidRDefault="000457FF" w:rsidP="00B00E67">
      <w:pPr>
        <w:jc w:val="both"/>
        <w:rPr>
          <w:color w:val="000000" w:themeColor="text1"/>
          <w:lang w:val="en-GB"/>
        </w:rPr>
      </w:pPr>
      <w:r w:rsidRPr="00F96EBF">
        <w:rPr>
          <w:color w:val="000000" w:themeColor="text1"/>
          <w:lang w:val="en-GB"/>
        </w:rPr>
        <w:t>One way to classify these factors is to differentiate between endogenous and exogenous causes</w:t>
      </w:r>
      <w:r w:rsidR="005A0588" w:rsidRPr="00F96EBF">
        <w:rPr>
          <w:color w:val="000000" w:themeColor="text1"/>
          <w:lang w:val="en-GB"/>
        </w:rPr>
        <w:t xml:space="preserve">. </w:t>
      </w:r>
      <w:r w:rsidR="005A0588" w:rsidRPr="00614657">
        <w:rPr>
          <w:color w:val="000000" w:themeColor="text1"/>
          <w:lang w:val="en-GB"/>
        </w:rPr>
        <w:t>This</w:t>
      </w:r>
      <w:r w:rsidR="00DB1DB0" w:rsidRPr="00614657">
        <w:rPr>
          <w:color w:val="000000" w:themeColor="text1"/>
          <w:lang w:val="en-GB"/>
        </w:rPr>
        <w:t xml:space="preserve"> article </w:t>
      </w:r>
      <w:r w:rsidR="00E5063D" w:rsidRPr="00614657">
        <w:rPr>
          <w:color w:val="000000" w:themeColor="text1"/>
          <w:lang w:val="en-GB"/>
        </w:rPr>
        <w:t>focus</w:t>
      </w:r>
      <w:r w:rsidR="00DB1DB0" w:rsidRPr="00614657">
        <w:rPr>
          <w:color w:val="000000" w:themeColor="text1"/>
          <w:lang w:val="en-GB"/>
        </w:rPr>
        <w:t>es</w:t>
      </w:r>
      <w:r w:rsidR="00E5063D" w:rsidRPr="00614657">
        <w:rPr>
          <w:color w:val="000000" w:themeColor="text1"/>
          <w:lang w:val="en-GB"/>
        </w:rPr>
        <w:t xml:space="preserve"> </w:t>
      </w:r>
      <w:r w:rsidR="00E5063D" w:rsidRPr="00F96EBF">
        <w:rPr>
          <w:color w:val="000000" w:themeColor="text1"/>
          <w:lang w:val="en-GB"/>
        </w:rPr>
        <w:t>on endogenous</w:t>
      </w:r>
      <w:r w:rsidR="00AE3DB1" w:rsidRPr="00F96EBF">
        <w:rPr>
          <w:color w:val="000000" w:themeColor="text1"/>
          <w:lang w:val="en-GB"/>
        </w:rPr>
        <w:t xml:space="preserve"> causes and </w:t>
      </w:r>
      <w:r w:rsidR="002B789D" w:rsidRPr="00F96EBF">
        <w:rPr>
          <w:color w:val="000000" w:themeColor="text1"/>
          <w:lang w:val="en-GB"/>
        </w:rPr>
        <w:t xml:space="preserve">on </w:t>
      </w:r>
      <w:r w:rsidR="00AE3DB1" w:rsidRPr="00F96EBF">
        <w:rPr>
          <w:color w:val="000000" w:themeColor="text1"/>
          <w:lang w:val="en-GB"/>
        </w:rPr>
        <w:t xml:space="preserve">how they are shaped by gender and regional inequalities. Whilst there is a vast amount of research into the causes of </w:t>
      </w:r>
      <w:r w:rsidR="00BE46F9" w:rsidRPr="00F96EBF">
        <w:rPr>
          <w:color w:val="000000" w:themeColor="text1"/>
          <w:lang w:val="en-GB"/>
        </w:rPr>
        <w:t>early school leaving</w:t>
      </w:r>
      <w:r w:rsidR="00AE3DB1" w:rsidRPr="00F96EBF">
        <w:rPr>
          <w:color w:val="000000" w:themeColor="text1"/>
          <w:lang w:val="en-GB"/>
        </w:rPr>
        <w:t xml:space="preserve">, there are still </w:t>
      </w:r>
      <w:r w:rsidR="00441F92" w:rsidRPr="00F96EBF">
        <w:rPr>
          <w:color w:val="000000" w:themeColor="text1"/>
          <w:lang w:val="en-GB"/>
        </w:rPr>
        <w:t xml:space="preserve">only a </w:t>
      </w:r>
      <w:r w:rsidR="00AE3DB1" w:rsidRPr="00F96EBF">
        <w:rPr>
          <w:color w:val="000000" w:themeColor="text1"/>
          <w:lang w:val="en-GB"/>
        </w:rPr>
        <w:t xml:space="preserve">few studies that </w:t>
      </w:r>
      <w:proofErr w:type="gramStart"/>
      <w:r w:rsidR="00AE3DB1" w:rsidRPr="00F96EBF">
        <w:rPr>
          <w:color w:val="000000" w:themeColor="text1"/>
          <w:lang w:val="en-GB"/>
        </w:rPr>
        <w:t>take into account</w:t>
      </w:r>
      <w:proofErr w:type="gramEnd"/>
      <w:r w:rsidR="00AE3DB1" w:rsidRPr="00F96EBF">
        <w:rPr>
          <w:color w:val="000000" w:themeColor="text1"/>
          <w:lang w:val="en-GB"/>
        </w:rPr>
        <w:t xml:space="preserve"> gender and region from a comparative point of view. For instance, Edgerton, Peter, and Roberts (2008) </w:t>
      </w:r>
      <w:r w:rsidR="00441F92" w:rsidRPr="00F96EBF">
        <w:rPr>
          <w:color w:val="000000" w:themeColor="text1"/>
          <w:lang w:val="en-GB"/>
        </w:rPr>
        <w:t xml:space="preserve">have </w:t>
      </w:r>
      <w:r w:rsidR="00AE3DB1" w:rsidRPr="00F96EBF">
        <w:rPr>
          <w:color w:val="000000" w:themeColor="text1"/>
          <w:lang w:val="en-GB"/>
        </w:rPr>
        <w:t xml:space="preserve">analysed how both </w:t>
      </w:r>
      <w:r w:rsidR="00D72437" w:rsidRPr="00F96EBF">
        <w:rPr>
          <w:color w:val="000000" w:themeColor="text1"/>
          <w:lang w:val="en-GB"/>
        </w:rPr>
        <w:t xml:space="preserve">these </w:t>
      </w:r>
      <w:r w:rsidR="00AE3DB1" w:rsidRPr="00F96EBF">
        <w:rPr>
          <w:color w:val="000000" w:themeColor="text1"/>
          <w:lang w:val="en-GB"/>
        </w:rPr>
        <w:t xml:space="preserve">variables shape educational results in Canada, but there is no research that focuses on both dimensions in relation to previous educational outcomes and </w:t>
      </w:r>
      <w:r w:rsidR="00BE46F9" w:rsidRPr="00F96EBF">
        <w:rPr>
          <w:color w:val="000000" w:themeColor="text1"/>
          <w:lang w:val="en-GB"/>
        </w:rPr>
        <w:t>early school leaving</w:t>
      </w:r>
      <w:r w:rsidR="00AE3DB1" w:rsidRPr="00F96EBF">
        <w:rPr>
          <w:color w:val="000000" w:themeColor="text1"/>
          <w:lang w:val="en-GB"/>
        </w:rPr>
        <w:t>. Furthermore, most of the literature compares countries or focuses on case studies based on a single region or city</w:t>
      </w:r>
      <w:r w:rsidR="00AE3DB1" w:rsidRPr="00614657">
        <w:rPr>
          <w:color w:val="000000" w:themeColor="text1"/>
          <w:lang w:val="en-GB"/>
        </w:rPr>
        <w:t xml:space="preserve">. </w:t>
      </w:r>
      <w:r w:rsidR="00D72437" w:rsidRPr="00614657">
        <w:rPr>
          <w:color w:val="000000" w:themeColor="text1"/>
          <w:lang w:val="en-GB"/>
        </w:rPr>
        <w:t>T</w:t>
      </w:r>
      <w:r w:rsidR="00AE3DB1" w:rsidRPr="00614657">
        <w:rPr>
          <w:color w:val="000000" w:themeColor="text1"/>
          <w:lang w:val="en-GB"/>
        </w:rPr>
        <w:t>h</w:t>
      </w:r>
      <w:r w:rsidR="00DB1DB0" w:rsidRPr="00614657">
        <w:rPr>
          <w:color w:val="000000" w:themeColor="text1"/>
          <w:lang w:val="en-GB"/>
        </w:rPr>
        <w:t xml:space="preserve">is article analyses </w:t>
      </w:r>
      <w:r w:rsidR="00AE3DB1" w:rsidRPr="00614657">
        <w:rPr>
          <w:color w:val="000000" w:themeColor="text1"/>
          <w:lang w:val="en-GB"/>
        </w:rPr>
        <w:t xml:space="preserve">the endogenous roots of </w:t>
      </w:r>
      <w:r w:rsidR="00BE46F9" w:rsidRPr="00614657">
        <w:rPr>
          <w:color w:val="000000" w:themeColor="text1"/>
          <w:lang w:val="en-GB"/>
        </w:rPr>
        <w:t>early school leaving</w:t>
      </w:r>
      <w:r w:rsidR="00DB1DB0" w:rsidRPr="00614657">
        <w:rPr>
          <w:color w:val="000000" w:themeColor="text1"/>
          <w:lang w:val="en-GB"/>
        </w:rPr>
        <w:t xml:space="preserve">; specifically, </w:t>
      </w:r>
      <w:r w:rsidR="00AE3DB1" w:rsidRPr="00614657">
        <w:rPr>
          <w:color w:val="000000" w:themeColor="text1"/>
          <w:lang w:val="en-GB"/>
        </w:rPr>
        <w:t xml:space="preserve">the relationship between </w:t>
      </w:r>
      <w:r w:rsidR="00BE46F9" w:rsidRPr="00614657">
        <w:rPr>
          <w:color w:val="000000" w:themeColor="text1"/>
          <w:lang w:val="en-GB"/>
        </w:rPr>
        <w:t xml:space="preserve">early school leaving </w:t>
      </w:r>
      <w:r w:rsidR="00AE3DB1" w:rsidRPr="00614657">
        <w:rPr>
          <w:color w:val="000000" w:themeColor="text1"/>
          <w:lang w:val="en-GB"/>
        </w:rPr>
        <w:t xml:space="preserve">and scholastic performance. We show how results from previous educational stages influence </w:t>
      </w:r>
      <w:r w:rsidR="00BE46F9" w:rsidRPr="00614657">
        <w:rPr>
          <w:color w:val="000000" w:themeColor="text1"/>
          <w:lang w:val="en-GB"/>
        </w:rPr>
        <w:t xml:space="preserve">early school leaving </w:t>
      </w:r>
      <w:r w:rsidR="00AE3DB1" w:rsidRPr="00614657">
        <w:rPr>
          <w:color w:val="000000" w:themeColor="text1"/>
          <w:lang w:val="en-GB"/>
        </w:rPr>
        <w:t>rates</w:t>
      </w:r>
      <w:r w:rsidR="00D72437" w:rsidRPr="00614657">
        <w:rPr>
          <w:color w:val="000000" w:themeColor="text1"/>
          <w:lang w:val="en-GB"/>
        </w:rPr>
        <w:t>,</w:t>
      </w:r>
      <w:r w:rsidR="00AE3DB1" w:rsidRPr="00614657">
        <w:rPr>
          <w:color w:val="000000" w:themeColor="text1"/>
          <w:lang w:val="en-GB"/>
        </w:rPr>
        <w:t xml:space="preserve"> and we </w:t>
      </w:r>
      <w:r w:rsidR="00DB1DB0" w:rsidRPr="00614657">
        <w:rPr>
          <w:color w:val="000000" w:themeColor="text1"/>
          <w:lang w:val="en-GB"/>
        </w:rPr>
        <w:t>use</w:t>
      </w:r>
      <w:r w:rsidR="00AE3DB1" w:rsidRPr="00614657">
        <w:rPr>
          <w:color w:val="000000" w:themeColor="text1"/>
          <w:lang w:val="en-GB"/>
        </w:rPr>
        <w:t xml:space="preserve"> gender and regional differences as discriminant variables </w:t>
      </w:r>
      <w:r w:rsidR="00DB1DB0" w:rsidRPr="00614657">
        <w:rPr>
          <w:color w:val="000000" w:themeColor="text1"/>
          <w:lang w:val="en-GB"/>
        </w:rPr>
        <w:t xml:space="preserve">in </w:t>
      </w:r>
      <w:r w:rsidR="00AE3DB1" w:rsidRPr="00614657">
        <w:rPr>
          <w:color w:val="000000" w:themeColor="text1"/>
          <w:lang w:val="en-GB"/>
        </w:rPr>
        <w:t>o</w:t>
      </w:r>
      <w:r w:rsidR="00DB1DB0" w:rsidRPr="00614657">
        <w:rPr>
          <w:color w:val="000000" w:themeColor="text1"/>
          <w:lang w:val="en-GB"/>
        </w:rPr>
        <w:t>ur</w:t>
      </w:r>
      <w:r w:rsidR="00AE3DB1" w:rsidRPr="00614657">
        <w:rPr>
          <w:color w:val="000000" w:themeColor="text1"/>
          <w:lang w:val="en-GB"/>
        </w:rPr>
        <w:t xml:space="preserve"> analysis; the literature has revealed that these two variables are significant in explaining educational outcomes in general (</w:t>
      </w:r>
      <w:proofErr w:type="spellStart"/>
      <w:r w:rsidR="00AE3DB1" w:rsidRPr="00614657">
        <w:rPr>
          <w:color w:val="000000" w:themeColor="text1"/>
          <w:lang w:val="en-GB"/>
        </w:rPr>
        <w:t>Carabaña</w:t>
      </w:r>
      <w:proofErr w:type="spellEnd"/>
      <w:r w:rsidR="00AE3DB1" w:rsidRPr="00614657">
        <w:rPr>
          <w:color w:val="000000" w:themeColor="text1"/>
          <w:lang w:val="en-GB"/>
        </w:rPr>
        <w:t>, 2008; Martínez, 2011)</w:t>
      </w:r>
      <w:r w:rsidR="00B00E67" w:rsidRPr="00614657">
        <w:rPr>
          <w:color w:val="000000" w:themeColor="text1"/>
          <w:lang w:val="en-GB"/>
        </w:rPr>
        <w:t xml:space="preserve">; in particular, </w:t>
      </w:r>
      <w:r w:rsidR="00AE3DB1" w:rsidRPr="00614657">
        <w:rPr>
          <w:color w:val="000000" w:themeColor="text1"/>
          <w:lang w:val="en-GB"/>
        </w:rPr>
        <w:t>early school</w:t>
      </w:r>
      <w:r w:rsidR="00B00E67" w:rsidRPr="00F96EBF">
        <w:rPr>
          <w:color w:val="000000" w:themeColor="text1"/>
          <w:lang w:val="en-GB"/>
        </w:rPr>
        <w:t xml:space="preserve"> leaving</w:t>
      </w:r>
      <w:r w:rsidR="00AE3DB1" w:rsidRPr="00F96EBF">
        <w:rPr>
          <w:color w:val="000000" w:themeColor="text1"/>
          <w:lang w:val="en-GB"/>
        </w:rPr>
        <w:t xml:space="preserve"> (Bayón-Calvo, Corrales-Herrero, &amp; Ogando, 2017; </w:t>
      </w:r>
      <w:proofErr w:type="spellStart"/>
      <w:r w:rsidR="00AE3DB1" w:rsidRPr="00F96EBF">
        <w:rPr>
          <w:color w:val="000000" w:themeColor="text1"/>
          <w:lang w:val="en-GB"/>
        </w:rPr>
        <w:t>Casquero</w:t>
      </w:r>
      <w:proofErr w:type="spellEnd"/>
      <w:r w:rsidR="00AE3DB1" w:rsidRPr="00F96EBF">
        <w:rPr>
          <w:color w:val="000000" w:themeColor="text1"/>
          <w:lang w:val="en-GB"/>
        </w:rPr>
        <w:t xml:space="preserve"> &amp; Navarro, 2010).</w:t>
      </w:r>
    </w:p>
    <w:p w14:paraId="4D5E14EC" w14:textId="77777777" w:rsidR="00DB1DB0" w:rsidRPr="00F96EBF" w:rsidRDefault="00DB1DB0" w:rsidP="006D08A5">
      <w:pPr>
        <w:rPr>
          <w:color w:val="000000" w:themeColor="text1"/>
          <w:lang w:val="en-GB"/>
        </w:rPr>
      </w:pPr>
    </w:p>
    <w:p w14:paraId="753F3B2D" w14:textId="01F20EC6" w:rsidR="00E058B0" w:rsidRPr="00F96EBF" w:rsidRDefault="00F73F65" w:rsidP="00F73F65">
      <w:pPr>
        <w:jc w:val="both"/>
        <w:rPr>
          <w:color w:val="000000" w:themeColor="text1"/>
          <w:lang w:val="en-GB"/>
        </w:rPr>
      </w:pPr>
      <w:r w:rsidRPr="00614657">
        <w:rPr>
          <w:color w:val="000000" w:themeColor="text1"/>
          <w:lang w:val="en-GB"/>
        </w:rPr>
        <w:t>E</w:t>
      </w:r>
      <w:r w:rsidR="00BE46F9" w:rsidRPr="00614657">
        <w:rPr>
          <w:color w:val="000000" w:themeColor="text1"/>
          <w:lang w:val="en-GB"/>
        </w:rPr>
        <w:t xml:space="preserve">arly school leaving </w:t>
      </w:r>
      <w:r w:rsidRPr="00614657">
        <w:rPr>
          <w:color w:val="000000" w:themeColor="text1"/>
          <w:lang w:val="en-GB"/>
        </w:rPr>
        <w:t>rates</w:t>
      </w:r>
      <w:r w:rsidR="00F670D3" w:rsidRPr="00614657">
        <w:rPr>
          <w:color w:val="000000" w:themeColor="text1"/>
          <w:lang w:val="en-GB"/>
        </w:rPr>
        <w:t xml:space="preserve"> var</w:t>
      </w:r>
      <w:r w:rsidRPr="00614657">
        <w:rPr>
          <w:color w:val="000000" w:themeColor="text1"/>
          <w:lang w:val="en-GB"/>
        </w:rPr>
        <w:t>y</w:t>
      </w:r>
      <w:r w:rsidR="00F670D3" w:rsidRPr="00614657">
        <w:rPr>
          <w:color w:val="000000" w:themeColor="text1"/>
          <w:lang w:val="en-GB"/>
        </w:rPr>
        <w:t xml:space="preserve"> b</w:t>
      </w:r>
      <w:r w:rsidRPr="00614657">
        <w:rPr>
          <w:color w:val="000000" w:themeColor="text1"/>
          <w:lang w:val="en-GB"/>
        </w:rPr>
        <w:t>y</w:t>
      </w:r>
      <w:r w:rsidR="00F670D3" w:rsidRPr="00614657">
        <w:rPr>
          <w:color w:val="000000" w:themeColor="text1"/>
          <w:lang w:val="en-GB"/>
        </w:rPr>
        <w:t xml:space="preserve"> countr</w:t>
      </w:r>
      <w:r w:rsidRPr="00614657">
        <w:rPr>
          <w:color w:val="000000" w:themeColor="text1"/>
          <w:lang w:val="en-GB"/>
        </w:rPr>
        <w:t>y</w:t>
      </w:r>
      <w:r w:rsidR="00F670D3" w:rsidRPr="00614657">
        <w:rPr>
          <w:color w:val="000000" w:themeColor="text1"/>
          <w:lang w:val="en-GB"/>
        </w:rPr>
        <w:t xml:space="preserve">. </w:t>
      </w:r>
      <w:r w:rsidR="00A73415" w:rsidRPr="00614657">
        <w:rPr>
          <w:color w:val="000000" w:themeColor="text1"/>
          <w:lang w:val="en-GB"/>
        </w:rPr>
        <w:t>Countries</w:t>
      </w:r>
      <w:r w:rsidR="00F670D3" w:rsidRPr="00614657">
        <w:rPr>
          <w:color w:val="000000" w:themeColor="text1"/>
          <w:lang w:val="en-GB"/>
        </w:rPr>
        <w:t xml:space="preserve"> in southern Europe tend to have the highest rates</w:t>
      </w:r>
      <w:r w:rsidR="00A73415" w:rsidRPr="00614657">
        <w:rPr>
          <w:color w:val="000000" w:themeColor="text1"/>
          <w:lang w:val="en-GB"/>
        </w:rPr>
        <w:t xml:space="preserve"> in </w:t>
      </w:r>
      <w:r w:rsidR="00773CCA" w:rsidRPr="00614657">
        <w:rPr>
          <w:color w:val="000000" w:themeColor="text1"/>
          <w:lang w:val="en-GB"/>
        </w:rPr>
        <w:t xml:space="preserve">the </w:t>
      </w:r>
      <w:r w:rsidR="00A73415" w:rsidRPr="00614657">
        <w:rPr>
          <w:color w:val="000000" w:themeColor="text1"/>
          <w:lang w:val="en-GB"/>
        </w:rPr>
        <w:t>EU</w:t>
      </w:r>
      <w:r w:rsidR="00F670D3" w:rsidRPr="00614657">
        <w:rPr>
          <w:color w:val="000000" w:themeColor="text1"/>
          <w:lang w:val="en-GB"/>
        </w:rPr>
        <w:t xml:space="preserve">. </w:t>
      </w:r>
      <w:r w:rsidR="00247AE2" w:rsidRPr="00614657">
        <w:rPr>
          <w:color w:val="000000" w:themeColor="text1"/>
          <w:lang w:val="en-GB"/>
        </w:rPr>
        <w:t xml:space="preserve">This </w:t>
      </w:r>
      <w:r w:rsidRPr="00614657">
        <w:rPr>
          <w:color w:val="000000" w:themeColor="text1"/>
          <w:lang w:val="en-GB"/>
        </w:rPr>
        <w:t xml:space="preserve">article </w:t>
      </w:r>
      <w:r w:rsidR="00247AE2" w:rsidRPr="00614657">
        <w:rPr>
          <w:color w:val="000000" w:themeColor="text1"/>
          <w:lang w:val="en-GB"/>
        </w:rPr>
        <w:t>focuse</w:t>
      </w:r>
      <w:r w:rsidRPr="00614657">
        <w:rPr>
          <w:color w:val="000000" w:themeColor="text1"/>
          <w:lang w:val="en-GB"/>
        </w:rPr>
        <w:t>s</w:t>
      </w:r>
      <w:r w:rsidR="00247AE2" w:rsidRPr="00614657">
        <w:rPr>
          <w:color w:val="000000" w:themeColor="text1"/>
          <w:lang w:val="en-GB"/>
        </w:rPr>
        <w:t xml:space="preserve"> </w:t>
      </w:r>
      <w:r w:rsidR="00D2606F" w:rsidRPr="00F96EBF">
        <w:rPr>
          <w:color w:val="000000" w:themeColor="text1"/>
          <w:lang w:val="en-GB"/>
        </w:rPr>
        <w:t>o</w:t>
      </w:r>
      <w:r w:rsidR="00247AE2" w:rsidRPr="00F96EBF">
        <w:rPr>
          <w:color w:val="000000" w:themeColor="text1"/>
          <w:lang w:val="en-GB"/>
        </w:rPr>
        <w:t xml:space="preserve">n the Spanish case. </w:t>
      </w:r>
      <w:r w:rsidR="00F670D3" w:rsidRPr="00F96EBF">
        <w:rPr>
          <w:color w:val="000000" w:themeColor="text1"/>
          <w:lang w:val="en-GB"/>
        </w:rPr>
        <w:t xml:space="preserve">As Donlevy, Day, Andriescu, and Downes (2019) state, Spain is </w:t>
      </w:r>
      <w:r w:rsidR="00D2606F" w:rsidRPr="00F96EBF">
        <w:rPr>
          <w:color w:val="000000" w:themeColor="text1"/>
          <w:lang w:val="en-GB"/>
        </w:rPr>
        <w:t>an interesting</w:t>
      </w:r>
      <w:r w:rsidR="00F670D3" w:rsidRPr="00F96EBF">
        <w:rPr>
          <w:color w:val="000000" w:themeColor="text1"/>
          <w:lang w:val="en-GB"/>
        </w:rPr>
        <w:t xml:space="preserve"> case, as it is the country with the highest rate in the EU</w:t>
      </w:r>
      <w:r w:rsidR="00F670D3" w:rsidRPr="00614657">
        <w:rPr>
          <w:color w:val="000000" w:themeColor="text1"/>
          <w:lang w:val="en-GB"/>
        </w:rPr>
        <w:t xml:space="preserve">. </w:t>
      </w:r>
      <w:r w:rsidR="00614657">
        <w:rPr>
          <w:color w:val="000000" w:themeColor="text1"/>
          <w:lang w:val="en-GB"/>
        </w:rPr>
        <w:t xml:space="preserve">In addition, </w:t>
      </w:r>
      <w:r w:rsidRPr="00614657">
        <w:rPr>
          <w:color w:val="000000" w:themeColor="text1"/>
          <w:lang w:val="en-GB"/>
        </w:rPr>
        <w:t>Spain has</w:t>
      </w:r>
      <w:r w:rsidR="00F670D3" w:rsidRPr="00614657">
        <w:rPr>
          <w:color w:val="000000" w:themeColor="text1"/>
          <w:lang w:val="en-GB"/>
        </w:rPr>
        <w:t xml:space="preserve"> </w:t>
      </w:r>
      <w:r w:rsidRPr="00614657">
        <w:rPr>
          <w:color w:val="000000" w:themeColor="text1"/>
          <w:lang w:val="en-GB"/>
        </w:rPr>
        <w:t xml:space="preserve">important </w:t>
      </w:r>
      <w:r w:rsidR="00F670D3" w:rsidRPr="00614657">
        <w:rPr>
          <w:color w:val="000000" w:themeColor="text1"/>
          <w:lang w:val="en-GB"/>
        </w:rPr>
        <w:t xml:space="preserve">regional and gender disparities </w:t>
      </w:r>
      <w:r w:rsidRPr="00614657">
        <w:rPr>
          <w:color w:val="000000" w:themeColor="text1"/>
          <w:lang w:val="en-GB"/>
        </w:rPr>
        <w:t>in</w:t>
      </w:r>
      <w:r w:rsidR="00F670D3" w:rsidRPr="00614657">
        <w:rPr>
          <w:color w:val="000000" w:themeColor="text1"/>
          <w:lang w:val="en-GB"/>
        </w:rPr>
        <w:t xml:space="preserve"> </w:t>
      </w:r>
      <w:r w:rsidR="00BE46F9" w:rsidRPr="00614657">
        <w:rPr>
          <w:color w:val="000000" w:themeColor="text1"/>
          <w:lang w:val="en-GB"/>
        </w:rPr>
        <w:t xml:space="preserve">early school leaving </w:t>
      </w:r>
      <w:r w:rsidR="00F670D3" w:rsidRPr="00614657">
        <w:rPr>
          <w:color w:val="000000" w:themeColor="text1"/>
          <w:lang w:val="en-GB"/>
        </w:rPr>
        <w:t xml:space="preserve">(Bayón-Calvo, Corrales-Herrero, &amp; De Witte, 2020; Donlevy </w:t>
      </w:r>
      <w:r w:rsidR="00F670D3" w:rsidRPr="00F96EBF">
        <w:rPr>
          <w:color w:val="000000" w:themeColor="text1"/>
          <w:lang w:val="en-GB"/>
        </w:rPr>
        <w:t>et al., 2019).</w:t>
      </w:r>
    </w:p>
    <w:p w14:paraId="51B3DA28" w14:textId="77777777" w:rsidR="00F73F65" w:rsidRPr="00F96EBF" w:rsidRDefault="00F73F65" w:rsidP="006D08A5">
      <w:pPr>
        <w:rPr>
          <w:color w:val="000000" w:themeColor="text1"/>
          <w:lang w:val="en-GB"/>
        </w:rPr>
      </w:pPr>
    </w:p>
    <w:p w14:paraId="35EC1B5C" w14:textId="0A01EAF9" w:rsidR="00E058B0" w:rsidRPr="00F96EBF" w:rsidRDefault="00E058B0" w:rsidP="0056339F">
      <w:pPr>
        <w:jc w:val="both"/>
        <w:rPr>
          <w:color w:val="000000" w:themeColor="text1"/>
          <w:lang w:val="en-GB"/>
        </w:rPr>
      </w:pPr>
      <w:r w:rsidRPr="00F96EBF">
        <w:rPr>
          <w:color w:val="000000" w:themeColor="text1"/>
          <w:lang w:val="en-GB"/>
        </w:rPr>
        <w:t xml:space="preserve">The methodology </w:t>
      </w:r>
      <w:r w:rsidRPr="00025A32">
        <w:rPr>
          <w:color w:val="000000" w:themeColor="text1"/>
          <w:lang w:val="en-GB"/>
        </w:rPr>
        <w:t xml:space="preserve">is based on </w:t>
      </w:r>
      <w:r w:rsidR="00D2606F" w:rsidRPr="00025A32">
        <w:rPr>
          <w:color w:val="000000" w:themeColor="text1"/>
          <w:lang w:val="en-GB"/>
        </w:rPr>
        <w:t>an</w:t>
      </w:r>
      <w:r w:rsidRPr="00025A32">
        <w:rPr>
          <w:color w:val="000000" w:themeColor="text1"/>
          <w:lang w:val="en-GB"/>
        </w:rPr>
        <w:t xml:space="preserve"> analysis of secondary data</w:t>
      </w:r>
      <w:r w:rsidR="00F73F65" w:rsidRPr="00025A32">
        <w:rPr>
          <w:color w:val="000000" w:themeColor="text1"/>
          <w:lang w:val="en-GB"/>
        </w:rPr>
        <w:t>; we used</w:t>
      </w:r>
      <w:r w:rsidR="00D2606F" w:rsidRPr="00025A32">
        <w:rPr>
          <w:color w:val="000000" w:themeColor="text1"/>
          <w:lang w:val="en-GB"/>
        </w:rPr>
        <w:t xml:space="preserve"> </w:t>
      </w:r>
      <w:r w:rsidRPr="00025A32">
        <w:rPr>
          <w:color w:val="000000" w:themeColor="text1"/>
          <w:lang w:val="en-GB"/>
        </w:rPr>
        <w:t>linear regression techniques, stud</w:t>
      </w:r>
      <w:r w:rsidR="0056339F" w:rsidRPr="00025A32">
        <w:rPr>
          <w:color w:val="000000" w:themeColor="text1"/>
          <w:lang w:val="en-GB"/>
        </w:rPr>
        <w:t>ied</w:t>
      </w:r>
      <w:r w:rsidRPr="00025A32">
        <w:rPr>
          <w:color w:val="000000" w:themeColor="text1"/>
          <w:lang w:val="en-GB"/>
        </w:rPr>
        <w:t xml:space="preserve"> regional and gender distribution </w:t>
      </w:r>
      <w:r w:rsidR="00D2606F" w:rsidRPr="00025A32">
        <w:rPr>
          <w:color w:val="000000" w:themeColor="text1"/>
          <w:lang w:val="en-GB"/>
        </w:rPr>
        <w:t>with</w:t>
      </w:r>
      <w:r w:rsidRPr="00025A32">
        <w:rPr>
          <w:color w:val="000000" w:themeColor="text1"/>
          <w:lang w:val="en-GB"/>
        </w:rPr>
        <w:t xml:space="preserve"> several indicators, as well as their potential relation</w:t>
      </w:r>
      <w:r w:rsidR="00F518B6" w:rsidRPr="00025A32">
        <w:rPr>
          <w:color w:val="000000" w:themeColor="text1"/>
          <w:lang w:val="en-GB"/>
        </w:rPr>
        <w:t>ship</w:t>
      </w:r>
      <w:r w:rsidRPr="00025A32">
        <w:rPr>
          <w:color w:val="000000" w:themeColor="text1"/>
          <w:lang w:val="en-GB"/>
        </w:rPr>
        <w:t xml:space="preserve"> with </w:t>
      </w:r>
      <w:r w:rsidR="00BE46F9" w:rsidRPr="00025A32">
        <w:rPr>
          <w:color w:val="000000" w:themeColor="text1"/>
          <w:lang w:val="en-GB"/>
        </w:rPr>
        <w:t>early school leaving</w:t>
      </w:r>
      <w:r w:rsidRPr="00025A32">
        <w:rPr>
          <w:color w:val="000000" w:themeColor="text1"/>
          <w:lang w:val="en-GB"/>
        </w:rPr>
        <w:t xml:space="preserve">. </w:t>
      </w:r>
      <w:r w:rsidR="0056339F" w:rsidRPr="00025A32">
        <w:rPr>
          <w:color w:val="000000" w:themeColor="text1"/>
          <w:lang w:val="en-GB"/>
        </w:rPr>
        <w:t>D</w:t>
      </w:r>
      <w:r w:rsidRPr="00025A32">
        <w:rPr>
          <w:color w:val="000000" w:themeColor="text1"/>
          <w:lang w:val="en-GB"/>
        </w:rPr>
        <w:t xml:space="preserve">ata </w:t>
      </w:r>
      <w:r w:rsidR="0056339F" w:rsidRPr="00025A32">
        <w:rPr>
          <w:color w:val="000000" w:themeColor="text1"/>
          <w:lang w:val="en-GB"/>
        </w:rPr>
        <w:t>were obtained from</w:t>
      </w:r>
      <w:r w:rsidRPr="00025A32">
        <w:rPr>
          <w:color w:val="000000" w:themeColor="text1"/>
          <w:lang w:val="en-GB"/>
        </w:rPr>
        <w:t xml:space="preserve"> the official statistics of the Spanish Ministry of Education</w:t>
      </w:r>
      <w:r w:rsidR="007D73CD">
        <w:rPr>
          <w:color w:val="000000" w:themeColor="text1"/>
          <w:lang w:val="en-GB"/>
        </w:rPr>
        <w:t xml:space="preserve"> (</w:t>
      </w:r>
      <w:proofErr w:type="spellStart"/>
      <w:r w:rsidR="007D73CD">
        <w:rPr>
          <w:color w:val="000000" w:themeColor="text1"/>
          <w:lang w:val="en-GB"/>
        </w:rPr>
        <w:t>Ministerio</w:t>
      </w:r>
      <w:proofErr w:type="spellEnd"/>
      <w:r w:rsidR="007D73CD">
        <w:rPr>
          <w:color w:val="000000" w:themeColor="text1"/>
          <w:lang w:val="en-GB"/>
        </w:rPr>
        <w:t xml:space="preserve"> de </w:t>
      </w:r>
      <w:proofErr w:type="spellStart"/>
      <w:r w:rsidR="007D73CD">
        <w:rPr>
          <w:color w:val="000000" w:themeColor="text1"/>
          <w:lang w:val="en-GB"/>
        </w:rPr>
        <w:t>Eduación</w:t>
      </w:r>
      <w:proofErr w:type="spellEnd"/>
      <w:r w:rsidR="007D73CD">
        <w:rPr>
          <w:color w:val="000000" w:themeColor="text1"/>
          <w:lang w:val="en-GB"/>
        </w:rPr>
        <w:t xml:space="preserve"> y </w:t>
      </w:r>
      <w:proofErr w:type="spellStart"/>
      <w:r w:rsidR="007D73CD">
        <w:rPr>
          <w:color w:val="000000" w:themeColor="text1"/>
          <w:lang w:val="en-GB"/>
        </w:rPr>
        <w:t>Formación</w:t>
      </w:r>
      <w:proofErr w:type="spellEnd"/>
      <w:r w:rsidR="007D73CD">
        <w:rPr>
          <w:color w:val="000000" w:themeColor="text1"/>
          <w:lang w:val="en-GB"/>
        </w:rPr>
        <w:t xml:space="preserve"> </w:t>
      </w:r>
      <w:proofErr w:type="spellStart"/>
      <w:r w:rsidR="007D73CD">
        <w:rPr>
          <w:color w:val="000000" w:themeColor="text1"/>
          <w:lang w:val="en-GB"/>
        </w:rPr>
        <w:t>Profesional</w:t>
      </w:r>
      <w:proofErr w:type="spellEnd"/>
      <w:r w:rsidR="00E22051">
        <w:rPr>
          <w:color w:val="000000" w:themeColor="text1"/>
          <w:lang w:val="en-GB"/>
        </w:rPr>
        <w:t>, 2019</w:t>
      </w:r>
      <w:r w:rsidR="007D73CD">
        <w:rPr>
          <w:color w:val="000000" w:themeColor="text1"/>
          <w:lang w:val="en-GB"/>
        </w:rPr>
        <w:t>)</w:t>
      </w:r>
      <w:r w:rsidRPr="00025A32">
        <w:rPr>
          <w:color w:val="000000" w:themeColor="text1"/>
          <w:lang w:val="en-GB"/>
        </w:rPr>
        <w:t>.</w:t>
      </w:r>
      <w:r w:rsidR="0056339F" w:rsidRPr="00025A32">
        <w:rPr>
          <w:color w:val="000000" w:themeColor="text1"/>
          <w:lang w:val="en-GB"/>
        </w:rPr>
        <w:t xml:space="preserve"> </w:t>
      </w:r>
      <w:r w:rsidRPr="00025A32">
        <w:rPr>
          <w:color w:val="000000" w:themeColor="text1"/>
          <w:lang w:val="en-GB"/>
        </w:rPr>
        <w:t>It should be noted that this</w:t>
      </w:r>
      <w:r w:rsidR="0056339F" w:rsidRPr="00025A32">
        <w:rPr>
          <w:color w:val="000000" w:themeColor="text1"/>
          <w:lang w:val="en-GB"/>
        </w:rPr>
        <w:t xml:space="preserve"> article</w:t>
      </w:r>
      <w:r w:rsidRPr="00025A32">
        <w:rPr>
          <w:color w:val="000000" w:themeColor="text1"/>
          <w:lang w:val="en-GB"/>
        </w:rPr>
        <w:t xml:space="preserve"> does not deny the importance of </w:t>
      </w:r>
      <w:r w:rsidR="00B31D94" w:rsidRPr="00025A32">
        <w:rPr>
          <w:color w:val="000000" w:themeColor="text1"/>
          <w:lang w:val="en-GB"/>
        </w:rPr>
        <w:t xml:space="preserve">exogenous </w:t>
      </w:r>
      <w:r w:rsidRPr="00025A32">
        <w:rPr>
          <w:color w:val="000000" w:themeColor="text1"/>
          <w:lang w:val="en-GB"/>
        </w:rPr>
        <w:t xml:space="preserve">causes of </w:t>
      </w:r>
      <w:r w:rsidR="00BE46F9" w:rsidRPr="00025A32">
        <w:rPr>
          <w:color w:val="000000" w:themeColor="text1"/>
          <w:lang w:val="en-GB"/>
        </w:rPr>
        <w:t xml:space="preserve">early school </w:t>
      </w:r>
      <w:r w:rsidR="0056339F" w:rsidRPr="00025A32">
        <w:rPr>
          <w:color w:val="000000" w:themeColor="text1"/>
          <w:lang w:val="en-GB"/>
        </w:rPr>
        <w:t xml:space="preserve">leaving. </w:t>
      </w:r>
      <w:r w:rsidR="00B31D94" w:rsidRPr="00025A32">
        <w:rPr>
          <w:color w:val="000000" w:themeColor="text1"/>
          <w:lang w:val="en-GB"/>
        </w:rPr>
        <w:t xml:space="preserve">It </w:t>
      </w:r>
      <w:r w:rsidRPr="00025A32">
        <w:rPr>
          <w:color w:val="000000" w:themeColor="text1"/>
          <w:lang w:val="en-GB"/>
        </w:rPr>
        <w:t xml:space="preserve">attempts to address </w:t>
      </w:r>
      <w:r w:rsidR="00BE46F9" w:rsidRPr="00025A32">
        <w:rPr>
          <w:color w:val="000000" w:themeColor="text1"/>
          <w:lang w:val="en-GB"/>
        </w:rPr>
        <w:t xml:space="preserve">early school leaving </w:t>
      </w:r>
      <w:r w:rsidR="00B31D94" w:rsidRPr="00025A32">
        <w:rPr>
          <w:color w:val="000000" w:themeColor="text1"/>
          <w:lang w:val="en-GB"/>
        </w:rPr>
        <w:t xml:space="preserve">in a way that </w:t>
      </w:r>
      <w:r w:rsidRPr="00025A32">
        <w:rPr>
          <w:color w:val="000000" w:themeColor="text1"/>
          <w:lang w:val="en-GB"/>
        </w:rPr>
        <w:t>complement</w:t>
      </w:r>
      <w:r w:rsidR="00B31D94" w:rsidRPr="00025A32">
        <w:rPr>
          <w:color w:val="000000" w:themeColor="text1"/>
          <w:lang w:val="en-GB"/>
        </w:rPr>
        <w:t>s</w:t>
      </w:r>
      <w:r w:rsidRPr="00025A32">
        <w:rPr>
          <w:color w:val="000000" w:themeColor="text1"/>
          <w:lang w:val="en-GB"/>
        </w:rPr>
        <w:t xml:space="preserve"> the numerous studies that cover </w:t>
      </w:r>
      <w:r w:rsidR="0056339F" w:rsidRPr="00025A32">
        <w:rPr>
          <w:color w:val="000000" w:themeColor="text1"/>
          <w:lang w:val="en-GB"/>
        </w:rPr>
        <w:t xml:space="preserve">exogenous causes </w:t>
      </w:r>
      <w:r w:rsidRPr="00025A32">
        <w:rPr>
          <w:color w:val="000000" w:themeColor="text1"/>
          <w:lang w:val="en-GB"/>
        </w:rPr>
        <w:t>(Alegre &amp; Benito, 2014; Cab</w:t>
      </w:r>
      <w:r w:rsidRPr="00F96EBF">
        <w:rPr>
          <w:color w:val="000000" w:themeColor="text1"/>
          <w:lang w:val="en-GB"/>
        </w:rPr>
        <w:t>us &amp; De Witte, 2016; Fernández-Macías, Antón, Braña, &amp; Muñoz de Bustillo, 2013; Fernández, Mena, &amp; Riviere, 2010; Rumberger &amp; Lim, 2008).</w:t>
      </w:r>
    </w:p>
    <w:p w14:paraId="72C8E483" w14:textId="77777777" w:rsidR="0056339F" w:rsidRPr="00F96EBF" w:rsidRDefault="0056339F" w:rsidP="0056339F">
      <w:pPr>
        <w:jc w:val="both"/>
        <w:rPr>
          <w:color w:val="000000" w:themeColor="text1"/>
          <w:lang w:val="en-GB"/>
        </w:rPr>
      </w:pPr>
    </w:p>
    <w:p w14:paraId="3DE256FD" w14:textId="1C501F4D" w:rsidR="00E058B0" w:rsidRPr="00025A32" w:rsidRDefault="00E058B0" w:rsidP="0056339F">
      <w:pPr>
        <w:jc w:val="both"/>
        <w:rPr>
          <w:color w:val="000000" w:themeColor="text1"/>
          <w:lang w:val="en-GB"/>
        </w:rPr>
      </w:pPr>
      <w:r w:rsidRPr="00025A32">
        <w:rPr>
          <w:color w:val="000000" w:themeColor="text1"/>
          <w:lang w:val="en-GB"/>
        </w:rPr>
        <w:t>Th</w:t>
      </w:r>
      <w:r w:rsidR="0056339F" w:rsidRPr="00025A32">
        <w:rPr>
          <w:color w:val="000000" w:themeColor="text1"/>
          <w:lang w:val="en-GB"/>
        </w:rPr>
        <w:t xml:space="preserve">is article is structured as follows. We start by outlining </w:t>
      </w:r>
      <w:r w:rsidRPr="00025A32">
        <w:rPr>
          <w:color w:val="000000" w:themeColor="text1"/>
          <w:lang w:val="en-GB"/>
        </w:rPr>
        <w:t xml:space="preserve">the </w:t>
      </w:r>
      <w:r w:rsidR="00821EB2" w:rsidRPr="00025A32">
        <w:rPr>
          <w:color w:val="000000" w:themeColor="text1"/>
          <w:lang w:val="en-GB"/>
        </w:rPr>
        <w:t xml:space="preserve">theoretical </w:t>
      </w:r>
      <w:r w:rsidRPr="00025A32">
        <w:rPr>
          <w:color w:val="000000" w:themeColor="text1"/>
          <w:lang w:val="en-GB"/>
        </w:rPr>
        <w:t xml:space="preserve">framework of </w:t>
      </w:r>
      <w:r w:rsidR="00BE46F9" w:rsidRPr="00025A32">
        <w:rPr>
          <w:color w:val="000000" w:themeColor="text1"/>
          <w:lang w:val="en-GB"/>
        </w:rPr>
        <w:t>early school leaving</w:t>
      </w:r>
      <w:r w:rsidR="0056339F" w:rsidRPr="00025A32">
        <w:rPr>
          <w:color w:val="000000" w:themeColor="text1"/>
          <w:lang w:val="en-GB"/>
        </w:rPr>
        <w:t>. G</w:t>
      </w:r>
      <w:r w:rsidR="00821EB2" w:rsidRPr="00025A32">
        <w:rPr>
          <w:color w:val="000000" w:themeColor="text1"/>
          <w:lang w:val="en-GB"/>
        </w:rPr>
        <w:t>ender and regional inequalities</w:t>
      </w:r>
      <w:r w:rsidR="00F33E9E" w:rsidRPr="00025A32">
        <w:rPr>
          <w:color w:val="000000" w:themeColor="text1"/>
          <w:lang w:val="en-GB"/>
        </w:rPr>
        <w:t xml:space="preserve"> in relation to </w:t>
      </w:r>
      <w:r w:rsidR="00BE46F9" w:rsidRPr="00025A32">
        <w:rPr>
          <w:color w:val="000000" w:themeColor="text1"/>
          <w:lang w:val="en-GB"/>
        </w:rPr>
        <w:t xml:space="preserve">early school </w:t>
      </w:r>
      <w:r w:rsidR="0056339F" w:rsidRPr="00025A32">
        <w:rPr>
          <w:color w:val="000000" w:themeColor="text1"/>
          <w:lang w:val="en-GB"/>
        </w:rPr>
        <w:t>leaving are outlined.</w:t>
      </w:r>
      <w:r w:rsidRPr="00025A32">
        <w:rPr>
          <w:color w:val="000000" w:themeColor="text1"/>
          <w:lang w:val="en-GB"/>
        </w:rPr>
        <w:t xml:space="preserve"> </w:t>
      </w:r>
      <w:r w:rsidR="0056339F" w:rsidRPr="00025A32">
        <w:rPr>
          <w:color w:val="000000" w:themeColor="text1"/>
          <w:lang w:val="en-GB"/>
        </w:rPr>
        <w:t>Next, a summary of</w:t>
      </w:r>
      <w:r w:rsidRPr="00025A32">
        <w:rPr>
          <w:color w:val="000000" w:themeColor="text1"/>
          <w:lang w:val="en-GB"/>
        </w:rPr>
        <w:t xml:space="preserve"> the methodology</w:t>
      </w:r>
      <w:r w:rsidR="0056339F" w:rsidRPr="00025A32">
        <w:rPr>
          <w:color w:val="000000" w:themeColor="text1"/>
          <w:lang w:val="en-GB"/>
        </w:rPr>
        <w:t xml:space="preserve"> is provided</w:t>
      </w:r>
      <w:r w:rsidRPr="00025A32">
        <w:rPr>
          <w:color w:val="000000" w:themeColor="text1"/>
          <w:lang w:val="en-GB"/>
        </w:rPr>
        <w:t xml:space="preserve">. </w:t>
      </w:r>
      <w:r w:rsidR="0056339F" w:rsidRPr="00025A32">
        <w:rPr>
          <w:color w:val="000000" w:themeColor="text1"/>
          <w:lang w:val="en-GB"/>
        </w:rPr>
        <w:t xml:space="preserve">Section four presents </w:t>
      </w:r>
      <w:r w:rsidR="0056339F" w:rsidRPr="00025A32">
        <w:rPr>
          <w:color w:val="000000" w:themeColor="text1"/>
          <w:lang w:val="en-GB"/>
        </w:rPr>
        <w:lastRenderedPageBreak/>
        <w:t>analysis of the empirical results. F</w:t>
      </w:r>
      <w:r w:rsidR="004063D4" w:rsidRPr="00025A32">
        <w:rPr>
          <w:color w:val="000000" w:themeColor="text1"/>
          <w:lang w:val="en-GB"/>
        </w:rPr>
        <w:t>inally,</w:t>
      </w:r>
      <w:r w:rsidRPr="00025A32">
        <w:rPr>
          <w:color w:val="000000" w:themeColor="text1"/>
          <w:lang w:val="en-GB"/>
        </w:rPr>
        <w:t xml:space="preserve"> some concluding points and implications for educational policy are </w:t>
      </w:r>
      <w:r w:rsidR="00B31D94" w:rsidRPr="00025A32">
        <w:rPr>
          <w:color w:val="000000" w:themeColor="text1"/>
          <w:lang w:val="en-GB"/>
        </w:rPr>
        <w:t>presented</w:t>
      </w:r>
      <w:r w:rsidRPr="00025A32">
        <w:rPr>
          <w:color w:val="000000" w:themeColor="text1"/>
          <w:lang w:val="en-GB"/>
        </w:rPr>
        <w:t xml:space="preserve">. </w:t>
      </w:r>
    </w:p>
    <w:p w14:paraId="7EA0A776" w14:textId="77777777" w:rsidR="0056339F" w:rsidRPr="00F96EBF" w:rsidRDefault="0056339F" w:rsidP="0056339F">
      <w:pPr>
        <w:rPr>
          <w:lang w:val="en-GB"/>
        </w:rPr>
      </w:pPr>
      <w:bookmarkStart w:id="2" w:name="_Hlk2418626"/>
    </w:p>
    <w:p w14:paraId="139111DF" w14:textId="77777777" w:rsidR="0056339F" w:rsidRPr="00F96EBF" w:rsidRDefault="0056339F" w:rsidP="0056339F">
      <w:pPr>
        <w:rPr>
          <w:b/>
          <w:bCs/>
          <w:lang w:val="en-GB"/>
        </w:rPr>
      </w:pPr>
      <w:r w:rsidRPr="00F96EBF">
        <w:rPr>
          <w:b/>
          <w:bCs/>
          <w:lang w:val="en-GB"/>
        </w:rPr>
        <w:t xml:space="preserve">2 </w:t>
      </w:r>
      <w:proofErr w:type="gramStart"/>
      <w:r w:rsidRPr="00F96EBF">
        <w:rPr>
          <w:b/>
          <w:bCs/>
          <w:lang w:val="en-GB"/>
        </w:rPr>
        <w:t>BACKGROUND</w:t>
      </w:r>
      <w:proofErr w:type="gramEnd"/>
    </w:p>
    <w:p w14:paraId="7AAD9639" w14:textId="77777777" w:rsidR="0056339F" w:rsidRPr="00F96EBF" w:rsidRDefault="0056339F" w:rsidP="0056339F">
      <w:pPr>
        <w:rPr>
          <w:lang w:val="en-GB"/>
        </w:rPr>
      </w:pPr>
    </w:p>
    <w:p w14:paraId="03375931" w14:textId="4F1C189B" w:rsidR="004A6B8A" w:rsidRPr="00F96EBF" w:rsidRDefault="0056339F" w:rsidP="0056339F">
      <w:pPr>
        <w:rPr>
          <w:b/>
          <w:bCs/>
          <w:sz w:val="28"/>
          <w:szCs w:val="28"/>
          <w:lang w:val="en-GB"/>
        </w:rPr>
      </w:pPr>
      <w:r w:rsidRPr="00F96EBF">
        <w:rPr>
          <w:b/>
          <w:bCs/>
          <w:sz w:val="28"/>
          <w:szCs w:val="28"/>
          <w:lang w:val="en-GB"/>
        </w:rPr>
        <w:t>2.1 E</w:t>
      </w:r>
      <w:r w:rsidR="00BE46F9" w:rsidRPr="00F96EBF">
        <w:rPr>
          <w:b/>
          <w:bCs/>
          <w:sz w:val="28"/>
          <w:szCs w:val="28"/>
          <w:lang w:val="en-GB"/>
        </w:rPr>
        <w:t xml:space="preserve">arly school leaving </w:t>
      </w:r>
      <w:r w:rsidR="004A6B8A" w:rsidRPr="00F96EBF">
        <w:rPr>
          <w:b/>
          <w:bCs/>
          <w:sz w:val="28"/>
          <w:szCs w:val="28"/>
          <w:lang w:val="en-GB"/>
        </w:rPr>
        <w:t xml:space="preserve">and </w:t>
      </w:r>
      <w:r w:rsidR="00431EB8" w:rsidRPr="00F96EBF">
        <w:rPr>
          <w:b/>
          <w:bCs/>
          <w:sz w:val="28"/>
          <w:szCs w:val="28"/>
          <w:lang w:val="en-GB"/>
        </w:rPr>
        <w:t>scholastic performance</w:t>
      </w:r>
    </w:p>
    <w:bookmarkEnd w:id="2"/>
    <w:p w14:paraId="6095936F" w14:textId="37EC9275" w:rsidR="000A6E4A" w:rsidRDefault="00F96EBF" w:rsidP="00F96EBF">
      <w:pPr>
        <w:jc w:val="both"/>
        <w:rPr>
          <w:color w:val="000000" w:themeColor="text1"/>
          <w:lang w:val="en-GB"/>
        </w:rPr>
      </w:pPr>
      <w:r>
        <w:rPr>
          <w:color w:val="000000" w:themeColor="text1"/>
          <w:lang w:val="en-GB"/>
        </w:rPr>
        <w:t>E</w:t>
      </w:r>
      <w:r w:rsidR="00BE46F9" w:rsidRPr="00F96EBF">
        <w:rPr>
          <w:color w:val="000000" w:themeColor="text1"/>
          <w:lang w:val="en-GB"/>
        </w:rPr>
        <w:t xml:space="preserve">arly school leaving </w:t>
      </w:r>
      <w:r w:rsidR="00B31D94" w:rsidRPr="00F96EBF">
        <w:rPr>
          <w:color w:val="000000" w:themeColor="text1"/>
          <w:lang w:val="en-GB"/>
        </w:rPr>
        <w:t>refers to the</w:t>
      </w:r>
      <w:r w:rsidR="00970211" w:rsidRPr="00F96EBF">
        <w:rPr>
          <w:color w:val="000000" w:themeColor="text1"/>
          <w:lang w:val="en-GB"/>
        </w:rPr>
        <w:t xml:space="preserve"> proportion of 18</w:t>
      </w:r>
      <w:r w:rsidR="00B31D94" w:rsidRPr="00F96EBF">
        <w:rPr>
          <w:color w:val="000000" w:themeColor="text1"/>
          <w:lang w:val="en-GB"/>
        </w:rPr>
        <w:sym w:font="Symbol" w:char="F02D"/>
      </w:r>
      <w:proofErr w:type="gramStart"/>
      <w:r w:rsidR="00970211" w:rsidRPr="00F96EBF">
        <w:rPr>
          <w:color w:val="000000" w:themeColor="text1"/>
          <w:lang w:val="en-GB"/>
        </w:rPr>
        <w:t>24 year</w:t>
      </w:r>
      <w:r w:rsidR="00B31D94" w:rsidRPr="00F96EBF">
        <w:rPr>
          <w:color w:val="000000" w:themeColor="text1"/>
          <w:lang w:val="en-GB"/>
        </w:rPr>
        <w:t>-</w:t>
      </w:r>
      <w:r w:rsidR="00970211" w:rsidRPr="00F96EBF">
        <w:rPr>
          <w:color w:val="000000" w:themeColor="text1"/>
          <w:lang w:val="en-GB"/>
        </w:rPr>
        <w:t>old</w:t>
      </w:r>
      <w:r w:rsidR="00B31D94" w:rsidRPr="00F96EBF">
        <w:rPr>
          <w:color w:val="000000" w:themeColor="text1"/>
          <w:lang w:val="en-GB"/>
        </w:rPr>
        <w:t>s</w:t>
      </w:r>
      <w:proofErr w:type="gramEnd"/>
      <w:r w:rsidR="00970211" w:rsidRPr="00F96EBF">
        <w:rPr>
          <w:color w:val="000000" w:themeColor="text1"/>
          <w:lang w:val="en-GB"/>
        </w:rPr>
        <w:t xml:space="preserve"> </w:t>
      </w:r>
      <w:r w:rsidR="00985639" w:rsidRPr="00F96EBF">
        <w:rPr>
          <w:color w:val="000000" w:themeColor="text1"/>
          <w:lang w:val="en-GB"/>
        </w:rPr>
        <w:t xml:space="preserve">who have at </w:t>
      </w:r>
      <w:proofErr w:type="gramStart"/>
      <w:r w:rsidR="00985639" w:rsidRPr="00F96EBF">
        <w:rPr>
          <w:color w:val="000000" w:themeColor="text1"/>
          <w:lang w:val="en-GB"/>
        </w:rPr>
        <w:t>most</w:t>
      </w:r>
      <w:r w:rsidR="00692D43" w:rsidRPr="00F96EBF">
        <w:rPr>
          <w:color w:val="000000" w:themeColor="text1"/>
          <w:lang w:val="en-GB"/>
        </w:rPr>
        <w:t xml:space="preserve"> lower</w:t>
      </w:r>
      <w:proofErr w:type="gramEnd"/>
      <w:r w:rsidR="00692D43" w:rsidRPr="00F96EBF">
        <w:rPr>
          <w:color w:val="000000" w:themeColor="text1"/>
          <w:lang w:val="en-GB"/>
        </w:rPr>
        <w:t xml:space="preserve"> secondary education</w:t>
      </w:r>
      <w:r w:rsidR="00F853E0" w:rsidRPr="00F96EBF">
        <w:rPr>
          <w:color w:val="000000" w:themeColor="text1"/>
          <w:lang w:val="en-GB"/>
        </w:rPr>
        <w:t xml:space="preserve"> and who are not in further education or training</w:t>
      </w:r>
      <w:r w:rsidR="00970211" w:rsidRPr="00F96EBF">
        <w:rPr>
          <w:color w:val="000000" w:themeColor="text1"/>
          <w:lang w:val="en-GB"/>
        </w:rPr>
        <w:t xml:space="preserve">. </w:t>
      </w:r>
      <w:r>
        <w:rPr>
          <w:color w:val="000000" w:themeColor="text1"/>
          <w:lang w:val="en-GB"/>
        </w:rPr>
        <w:t>E</w:t>
      </w:r>
      <w:r w:rsidR="00BE46F9" w:rsidRPr="00F96EBF">
        <w:rPr>
          <w:color w:val="000000" w:themeColor="text1"/>
          <w:lang w:val="en-GB"/>
        </w:rPr>
        <w:t xml:space="preserve">arly school leaving </w:t>
      </w:r>
      <w:r w:rsidR="000119CA" w:rsidRPr="00F96EBF">
        <w:rPr>
          <w:color w:val="000000" w:themeColor="text1"/>
          <w:lang w:val="en-GB"/>
        </w:rPr>
        <w:t xml:space="preserve">is </w:t>
      </w:r>
      <w:r w:rsidR="00985639" w:rsidRPr="00F96EBF">
        <w:rPr>
          <w:color w:val="000000" w:themeColor="text1"/>
          <w:lang w:val="en-GB"/>
        </w:rPr>
        <w:t xml:space="preserve">a </w:t>
      </w:r>
      <w:r w:rsidR="000119CA" w:rsidRPr="00F96EBF">
        <w:rPr>
          <w:color w:val="000000" w:themeColor="text1"/>
          <w:lang w:val="en-GB"/>
        </w:rPr>
        <w:t xml:space="preserve">complex </w:t>
      </w:r>
      <w:r w:rsidR="00985639" w:rsidRPr="00F96EBF">
        <w:rPr>
          <w:color w:val="000000" w:themeColor="text1"/>
          <w:lang w:val="en-GB"/>
        </w:rPr>
        <w:t xml:space="preserve">matter. Its multiple causes can be found in </w:t>
      </w:r>
      <w:r w:rsidR="00D03193" w:rsidRPr="00F96EBF">
        <w:rPr>
          <w:color w:val="000000" w:themeColor="text1"/>
          <w:lang w:val="en-GB"/>
        </w:rPr>
        <w:t>individual and family</w:t>
      </w:r>
      <w:r w:rsidR="00767589" w:rsidRPr="00F96EBF">
        <w:rPr>
          <w:color w:val="000000" w:themeColor="text1"/>
          <w:lang w:val="en-GB"/>
        </w:rPr>
        <w:t>-</w:t>
      </w:r>
      <w:r w:rsidR="00D03193" w:rsidRPr="00F96EBF">
        <w:rPr>
          <w:color w:val="000000" w:themeColor="text1"/>
          <w:lang w:val="en-GB"/>
        </w:rPr>
        <w:t>related circumstances, socio</w:t>
      </w:r>
      <w:r w:rsidR="00F408CE" w:rsidRPr="00F96EBF">
        <w:rPr>
          <w:color w:val="000000" w:themeColor="text1"/>
          <w:lang w:val="en-GB"/>
        </w:rPr>
        <w:t>-</w:t>
      </w:r>
      <w:r w:rsidR="00D03193" w:rsidRPr="00F96EBF">
        <w:rPr>
          <w:color w:val="000000" w:themeColor="text1"/>
          <w:lang w:val="en-GB"/>
        </w:rPr>
        <w:t xml:space="preserve">economic conditions, </w:t>
      </w:r>
      <w:r w:rsidR="00F408CE" w:rsidRPr="00F96EBF">
        <w:rPr>
          <w:color w:val="000000" w:themeColor="text1"/>
          <w:lang w:val="en-GB"/>
        </w:rPr>
        <w:t>and</w:t>
      </w:r>
      <w:r w:rsidR="00D03193" w:rsidRPr="00F96EBF">
        <w:rPr>
          <w:color w:val="000000" w:themeColor="text1"/>
          <w:lang w:val="en-GB"/>
        </w:rPr>
        <w:t xml:space="preserve"> </w:t>
      </w:r>
      <w:r w:rsidR="00985639" w:rsidRPr="00F96EBF">
        <w:rPr>
          <w:color w:val="000000" w:themeColor="text1"/>
          <w:lang w:val="en-GB"/>
        </w:rPr>
        <w:t xml:space="preserve">inadequate </w:t>
      </w:r>
      <w:r w:rsidR="00D03193" w:rsidRPr="00F96EBF">
        <w:rPr>
          <w:color w:val="000000" w:themeColor="text1"/>
          <w:lang w:val="en-GB"/>
        </w:rPr>
        <w:t>policy interventions</w:t>
      </w:r>
      <w:r w:rsidR="000119CA" w:rsidRPr="00F96EBF">
        <w:rPr>
          <w:color w:val="000000" w:themeColor="text1"/>
          <w:lang w:val="en-GB"/>
        </w:rPr>
        <w:t xml:space="preserve">. </w:t>
      </w:r>
      <w:r>
        <w:rPr>
          <w:color w:val="000000" w:themeColor="text1"/>
          <w:lang w:val="en-GB"/>
        </w:rPr>
        <w:t>E</w:t>
      </w:r>
      <w:r w:rsidR="00BE46F9" w:rsidRPr="00F96EBF">
        <w:rPr>
          <w:color w:val="000000" w:themeColor="text1"/>
          <w:lang w:val="en-GB"/>
        </w:rPr>
        <w:t xml:space="preserve">arly school leaving </w:t>
      </w:r>
      <w:r w:rsidR="00970211" w:rsidRPr="00F96EBF">
        <w:rPr>
          <w:color w:val="000000" w:themeColor="text1"/>
          <w:lang w:val="en-GB"/>
        </w:rPr>
        <w:t xml:space="preserve">is </w:t>
      </w:r>
      <w:r w:rsidR="00E058B0" w:rsidRPr="00F96EBF">
        <w:rPr>
          <w:color w:val="000000" w:themeColor="text1"/>
          <w:lang w:val="en-GB"/>
        </w:rPr>
        <w:t xml:space="preserve">not a one-off event that occurs in people’s lives, but rather </w:t>
      </w:r>
      <w:r w:rsidR="00985639" w:rsidRPr="00F96EBF">
        <w:rPr>
          <w:color w:val="000000" w:themeColor="text1"/>
          <w:lang w:val="en-GB"/>
        </w:rPr>
        <w:t xml:space="preserve">the end of </w:t>
      </w:r>
      <w:r w:rsidR="00E058B0" w:rsidRPr="00F96EBF">
        <w:rPr>
          <w:color w:val="000000" w:themeColor="text1"/>
          <w:lang w:val="en-GB"/>
        </w:rPr>
        <w:t>a dynamic process</w:t>
      </w:r>
      <w:r w:rsidR="004C7691" w:rsidRPr="00F96EBF">
        <w:rPr>
          <w:color w:val="000000" w:themeColor="text1"/>
          <w:lang w:val="en-GB"/>
        </w:rPr>
        <w:t>.</w:t>
      </w:r>
      <w:r w:rsidR="000A6E4A" w:rsidRPr="00F96EBF">
        <w:rPr>
          <w:color w:val="000000" w:themeColor="text1"/>
          <w:lang w:val="en-GB"/>
        </w:rPr>
        <w:t xml:space="preserve"> </w:t>
      </w:r>
      <w:r w:rsidR="00F408CE" w:rsidRPr="00F96EBF">
        <w:rPr>
          <w:color w:val="000000" w:themeColor="text1"/>
          <w:lang w:val="en-GB"/>
        </w:rPr>
        <w:t>The l</w:t>
      </w:r>
      <w:r w:rsidR="000A6E4A" w:rsidRPr="00F96EBF">
        <w:rPr>
          <w:color w:val="000000" w:themeColor="text1"/>
          <w:lang w:val="en-GB"/>
        </w:rPr>
        <w:t xml:space="preserve">iterature has shown the importance of scholastic performance in educational outcomes. </w:t>
      </w:r>
      <w:r w:rsidR="00E058B0" w:rsidRPr="00F96EBF">
        <w:rPr>
          <w:color w:val="000000" w:themeColor="text1"/>
          <w:lang w:val="en-GB"/>
        </w:rPr>
        <w:t>Cabus and De Witte (2016) refer</w:t>
      </w:r>
      <w:r w:rsidR="00A66A50" w:rsidRPr="00F96EBF">
        <w:rPr>
          <w:color w:val="000000" w:themeColor="text1"/>
          <w:lang w:val="en-GB"/>
        </w:rPr>
        <w:t>red</w:t>
      </w:r>
      <w:r w:rsidR="00E058B0" w:rsidRPr="00F96EBF">
        <w:rPr>
          <w:color w:val="000000" w:themeColor="text1"/>
          <w:lang w:val="en-GB"/>
        </w:rPr>
        <w:t xml:space="preserve"> to a process of </w:t>
      </w:r>
      <w:r w:rsidR="00E058B0" w:rsidRPr="00F96EBF">
        <w:rPr>
          <w:i/>
          <w:iCs/>
          <w:color w:val="000000" w:themeColor="text1"/>
          <w:lang w:val="en-GB"/>
        </w:rPr>
        <w:t>student attrition</w:t>
      </w:r>
      <w:r w:rsidR="00E058B0" w:rsidRPr="00F96EBF">
        <w:rPr>
          <w:color w:val="000000" w:themeColor="text1"/>
          <w:lang w:val="en-GB"/>
        </w:rPr>
        <w:t xml:space="preserve"> with underlying factors</w:t>
      </w:r>
      <w:r w:rsidR="00A66A50" w:rsidRPr="00F96EBF">
        <w:rPr>
          <w:color w:val="000000" w:themeColor="text1"/>
          <w:lang w:val="en-GB"/>
        </w:rPr>
        <w:t xml:space="preserve"> that </w:t>
      </w:r>
      <w:r w:rsidR="00E058B0" w:rsidRPr="00F96EBF">
        <w:rPr>
          <w:color w:val="000000" w:themeColor="text1"/>
          <w:lang w:val="en-GB"/>
        </w:rPr>
        <w:t>eventually lead to the student dropping out of school.</w:t>
      </w:r>
      <w:r w:rsidR="00FC3218" w:rsidRPr="00F96EBF">
        <w:rPr>
          <w:color w:val="000000" w:themeColor="text1"/>
          <w:lang w:val="en-GB"/>
        </w:rPr>
        <w:t xml:space="preserve"> Cabrera, Pérez, Santana, and Betancort (2019) point</w:t>
      </w:r>
      <w:r w:rsidR="00A66A50" w:rsidRPr="00F96EBF">
        <w:rPr>
          <w:color w:val="000000" w:themeColor="text1"/>
          <w:lang w:val="en-GB"/>
        </w:rPr>
        <w:t>ed</w:t>
      </w:r>
      <w:r w:rsidR="00FC3218" w:rsidRPr="00F96EBF">
        <w:rPr>
          <w:color w:val="000000" w:themeColor="text1"/>
          <w:lang w:val="en-GB"/>
        </w:rPr>
        <w:t xml:space="preserve"> out that school experiences and performance influence </w:t>
      </w:r>
      <w:r w:rsidR="00A66A50" w:rsidRPr="00F96EBF">
        <w:rPr>
          <w:color w:val="000000" w:themeColor="text1"/>
          <w:lang w:val="en-GB"/>
        </w:rPr>
        <w:t xml:space="preserve">later </w:t>
      </w:r>
      <w:r w:rsidR="00FC3218" w:rsidRPr="00F96EBF">
        <w:rPr>
          <w:color w:val="000000" w:themeColor="text1"/>
          <w:lang w:val="en-GB"/>
        </w:rPr>
        <w:t>educational outcomes.</w:t>
      </w:r>
      <w:r w:rsidR="000A6E4A" w:rsidRPr="00F96EBF">
        <w:rPr>
          <w:color w:val="000000" w:themeColor="text1"/>
          <w:lang w:val="en-GB"/>
        </w:rPr>
        <w:t xml:space="preserve"> </w:t>
      </w:r>
    </w:p>
    <w:p w14:paraId="09BB6E12" w14:textId="77777777" w:rsidR="00F96EBF" w:rsidRPr="00F96EBF" w:rsidRDefault="00F96EBF" w:rsidP="00F96EBF">
      <w:pPr>
        <w:jc w:val="both"/>
        <w:rPr>
          <w:color w:val="000000" w:themeColor="text1"/>
          <w:lang w:val="en-GB"/>
        </w:rPr>
      </w:pPr>
    </w:p>
    <w:p w14:paraId="3D3FBE2A" w14:textId="5F5986F8" w:rsidR="00D03193" w:rsidRDefault="000A6E4A" w:rsidP="007200D8">
      <w:pPr>
        <w:jc w:val="both"/>
        <w:rPr>
          <w:color w:val="000000" w:themeColor="text1"/>
          <w:lang w:val="en-GB"/>
        </w:rPr>
      </w:pPr>
      <w:r w:rsidRPr="00F96EBF">
        <w:rPr>
          <w:color w:val="000000" w:themeColor="text1"/>
          <w:lang w:val="en-GB"/>
        </w:rPr>
        <w:t xml:space="preserve">There are several educational indicators that </w:t>
      </w:r>
      <w:proofErr w:type="gramStart"/>
      <w:r w:rsidRPr="00F96EBF">
        <w:rPr>
          <w:color w:val="000000" w:themeColor="text1"/>
          <w:lang w:val="en-GB"/>
        </w:rPr>
        <w:t>are connected with</w:t>
      </w:r>
      <w:proofErr w:type="gramEnd"/>
      <w:r w:rsidRPr="00F96EBF">
        <w:rPr>
          <w:color w:val="000000" w:themeColor="text1"/>
          <w:lang w:val="en-GB"/>
        </w:rPr>
        <w:t xml:space="preserve"> </w:t>
      </w:r>
      <w:r w:rsidR="00BE46F9" w:rsidRPr="00F96EBF">
        <w:rPr>
          <w:color w:val="000000" w:themeColor="text1"/>
          <w:lang w:val="en-GB"/>
        </w:rPr>
        <w:t xml:space="preserve">early school </w:t>
      </w:r>
      <w:r w:rsidR="0056339F" w:rsidRPr="00F96EBF">
        <w:rPr>
          <w:color w:val="000000" w:themeColor="text1"/>
          <w:lang w:val="en-GB"/>
        </w:rPr>
        <w:t xml:space="preserve">leaving. </w:t>
      </w:r>
      <w:r w:rsidR="000119CA" w:rsidRPr="00F96EBF">
        <w:rPr>
          <w:color w:val="000000" w:themeColor="text1"/>
          <w:lang w:val="en-GB"/>
        </w:rPr>
        <w:t>Rumberger and Lim (2008) state</w:t>
      </w:r>
      <w:r w:rsidR="00A66A50" w:rsidRPr="00F96EBF">
        <w:rPr>
          <w:color w:val="000000" w:themeColor="text1"/>
          <w:lang w:val="en-GB"/>
        </w:rPr>
        <w:t>d</w:t>
      </w:r>
      <w:r w:rsidR="000119CA" w:rsidRPr="00F96EBF">
        <w:rPr>
          <w:color w:val="000000" w:themeColor="text1"/>
          <w:lang w:val="en-GB"/>
        </w:rPr>
        <w:t xml:space="preserve"> that graduation rates have a significant effect on subsequent </w:t>
      </w:r>
      <w:r w:rsidR="00BE46F9" w:rsidRPr="00F96EBF">
        <w:rPr>
          <w:color w:val="000000" w:themeColor="text1"/>
          <w:lang w:val="en-GB"/>
        </w:rPr>
        <w:t xml:space="preserve">early school </w:t>
      </w:r>
      <w:r w:rsidR="0056339F" w:rsidRPr="00F96EBF">
        <w:rPr>
          <w:color w:val="000000" w:themeColor="text1"/>
          <w:lang w:val="en-GB"/>
        </w:rPr>
        <w:t xml:space="preserve">leaving. </w:t>
      </w:r>
      <w:r w:rsidR="000119CA" w:rsidRPr="00F96EBF">
        <w:rPr>
          <w:color w:val="000000" w:themeColor="text1"/>
          <w:lang w:val="en-GB"/>
        </w:rPr>
        <w:t xml:space="preserve">Several studies </w:t>
      </w:r>
      <w:r w:rsidR="00C91255" w:rsidRPr="00F96EBF">
        <w:rPr>
          <w:color w:val="000000" w:themeColor="text1"/>
          <w:lang w:val="en-GB"/>
        </w:rPr>
        <w:t xml:space="preserve">have </w:t>
      </w:r>
      <w:r w:rsidR="00C87047" w:rsidRPr="00F96EBF">
        <w:rPr>
          <w:color w:val="000000" w:themeColor="text1"/>
          <w:lang w:val="en-GB"/>
        </w:rPr>
        <w:t>associated</w:t>
      </w:r>
      <w:r w:rsidR="000119CA" w:rsidRPr="00F96EBF">
        <w:rPr>
          <w:color w:val="000000" w:themeColor="text1"/>
          <w:lang w:val="en-GB"/>
        </w:rPr>
        <w:t xml:space="preserve"> truancy and failure with </w:t>
      </w:r>
      <w:r w:rsidR="00BE46F9" w:rsidRPr="00F96EBF">
        <w:rPr>
          <w:color w:val="000000" w:themeColor="text1"/>
          <w:lang w:val="en-GB"/>
        </w:rPr>
        <w:t xml:space="preserve">early school leaving </w:t>
      </w:r>
      <w:r w:rsidRPr="00F96EBF">
        <w:rPr>
          <w:color w:val="000000" w:themeColor="text1"/>
          <w:lang w:val="en-GB"/>
        </w:rPr>
        <w:t>(</w:t>
      </w:r>
      <w:r w:rsidR="000119CA" w:rsidRPr="007200D8">
        <w:rPr>
          <w:color w:val="000000" w:themeColor="text1"/>
          <w:lang w:val="en-GB"/>
        </w:rPr>
        <w:t xml:space="preserve">Fernández et al., 2010). </w:t>
      </w:r>
      <w:r w:rsidRPr="00025A32">
        <w:rPr>
          <w:color w:val="000000" w:themeColor="text1"/>
          <w:lang w:val="en-GB"/>
        </w:rPr>
        <w:t>G</w:t>
      </w:r>
      <w:r w:rsidR="00D03193" w:rsidRPr="00025A32">
        <w:rPr>
          <w:color w:val="000000" w:themeColor="text1"/>
          <w:lang w:val="en-GB"/>
        </w:rPr>
        <w:t>rade repetition</w:t>
      </w:r>
      <w:r w:rsidRPr="00025A32">
        <w:rPr>
          <w:color w:val="000000" w:themeColor="text1"/>
          <w:lang w:val="en-GB"/>
        </w:rPr>
        <w:t xml:space="preserve"> </w:t>
      </w:r>
      <w:r w:rsidRPr="00F96EBF">
        <w:rPr>
          <w:color w:val="000000" w:themeColor="text1"/>
          <w:lang w:val="en-GB"/>
        </w:rPr>
        <w:t xml:space="preserve">has been related to </w:t>
      </w:r>
      <w:r w:rsidR="00BE46F9" w:rsidRPr="00F96EBF">
        <w:rPr>
          <w:color w:val="000000" w:themeColor="text1"/>
          <w:lang w:val="en-GB"/>
        </w:rPr>
        <w:t xml:space="preserve">early school leaving </w:t>
      </w:r>
      <w:r w:rsidRPr="00F96EBF">
        <w:rPr>
          <w:color w:val="000000" w:themeColor="text1"/>
          <w:lang w:val="en-GB"/>
        </w:rPr>
        <w:t>in several studies</w:t>
      </w:r>
      <w:r w:rsidR="00D03193" w:rsidRPr="00F96EBF">
        <w:rPr>
          <w:color w:val="000000" w:themeColor="text1"/>
          <w:lang w:val="en-GB"/>
        </w:rPr>
        <w:t xml:space="preserve"> (Cordero, </w:t>
      </w:r>
      <w:proofErr w:type="spellStart"/>
      <w:r w:rsidR="00D03193" w:rsidRPr="00F96EBF">
        <w:rPr>
          <w:color w:val="000000" w:themeColor="text1"/>
          <w:lang w:val="en-GB"/>
        </w:rPr>
        <w:t>Manchón</w:t>
      </w:r>
      <w:proofErr w:type="spellEnd"/>
      <w:r w:rsidR="00D03193" w:rsidRPr="00F96EBF">
        <w:rPr>
          <w:color w:val="000000" w:themeColor="text1"/>
          <w:lang w:val="en-GB"/>
        </w:rPr>
        <w:t>, &amp; Simancas, 2014</w:t>
      </w:r>
      <w:r w:rsidR="00A66A50" w:rsidRPr="00F96EBF">
        <w:rPr>
          <w:color w:val="000000" w:themeColor="text1"/>
          <w:lang w:val="en-GB"/>
        </w:rPr>
        <w:t xml:space="preserve">; </w:t>
      </w:r>
      <w:proofErr w:type="spellStart"/>
      <w:r w:rsidR="00A66A50" w:rsidRPr="00F96EBF">
        <w:rPr>
          <w:color w:val="000000" w:themeColor="text1"/>
          <w:lang w:val="en-GB"/>
        </w:rPr>
        <w:t>Roselló</w:t>
      </w:r>
      <w:proofErr w:type="spellEnd"/>
      <w:r w:rsidR="00A66A50" w:rsidRPr="00F96EBF">
        <w:rPr>
          <w:color w:val="000000" w:themeColor="text1"/>
          <w:lang w:val="en-GB"/>
        </w:rPr>
        <w:t xml:space="preserve"> &amp; Oliver, 2014</w:t>
      </w:r>
      <w:r w:rsidR="00D03193" w:rsidRPr="00F96EBF">
        <w:rPr>
          <w:color w:val="000000" w:themeColor="text1"/>
          <w:lang w:val="en-GB"/>
        </w:rPr>
        <w:t>). In addition, the results of skills test</w:t>
      </w:r>
      <w:r w:rsidR="00A66A50" w:rsidRPr="00F96EBF">
        <w:rPr>
          <w:color w:val="000000" w:themeColor="text1"/>
          <w:lang w:val="en-GB"/>
        </w:rPr>
        <w:t>s</w:t>
      </w:r>
      <w:r w:rsidR="00D03193" w:rsidRPr="00F96EBF">
        <w:rPr>
          <w:color w:val="000000" w:themeColor="text1"/>
          <w:lang w:val="en-GB"/>
        </w:rPr>
        <w:t xml:space="preserve"> such as PISA scores </w:t>
      </w:r>
      <w:r w:rsidR="00C91255" w:rsidRPr="00F96EBF">
        <w:rPr>
          <w:color w:val="000000" w:themeColor="text1"/>
          <w:lang w:val="en-GB"/>
        </w:rPr>
        <w:t>have been</w:t>
      </w:r>
      <w:r w:rsidR="00A66A50" w:rsidRPr="00F96EBF">
        <w:rPr>
          <w:color w:val="000000" w:themeColor="text1"/>
          <w:lang w:val="en-GB"/>
        </w:rPr>
        <w:t xml:space="preserve"> </w:t>
      </w:r>
      <w:r w:rsidR="00D03193" w:rsidRPr="00F96EBF">
        <w:rPr>
          <w:color w:val="000000" w:themeColor="text1"/>
          <w:lang w:val="en-GB"/>
        </w:rPr>
        <w:t>used as predictors of educational phenomena (OECD, 2010).</w:t>
      </w:r>
      <w:r w:rsidR="007200D8">
        <w:rPr>
          <w:color w:val="000000" w:themeColor="text1"/>
          <w:lang w:val="en-GB"/>
        </w:rPr>
        <w:t xml:space="preserve"> </w:t>
      </w:r>
      <w:r w:rsidR="007200D8" w:rsidRPr="00025A32">
        <w:rPr>
          <w:color w:val="000000" w:themeColor="text1"/>
          <w:lang w:val="en-GB"/>
        </w:rPr>
        <w:t>Clearly,</w:t>
      </w:r>
      <w:r w:rsidR="00D03193" w:rsidRPr="00025A32">
        <w:rPr>
          <w:color w:val="000000" w:themeColor="text1"/>
          <w:lang w:val="en-GB"/>
        </w:rPr>
        <w:t xml:space="preserve"> </w:t>
      </w:r>
      <w:r w:rsidR="00BE46F9" w:rsidRPr="00025A32">
        <w:rPr>
          <w:color w:val="000000" w:themeColor="text1"/>
          <w:lang w:val="en-GB"/>
        </w:rPr>
        <w:t xml:space="preserve">early school leaving </w:t>
      </w:r>
      <w:r w:rsidR="00F408CE" w:rsidRPr="00025A32">
        <w:rPr>
          <w:color w:val="000000" w:themeColor="text1"/>
          <w:lang w:val="en-GB"/>
        </w:rPr>
        <w:t xml:space="preserve">is </w:t>
      </w:r>
      <w:r w:rsidR="00D03193" w:rsidRPr="00025A32">
        <w:rPr>
          <w:color w:val="000000" w:themeColor="text1"/>
          <w:lang w:val="en-GB"/>
        </w:rPr>
        <w:t>a broad and compl</w:t>
      </w:r>
      <w:r w:rsidR="00A66A50" w:rsidRPr="00025A32">
        <w:rPr>
          <w:color w:val="000000" w:themeColor="text1"/>
          <w:lang w:val="en-GB"/>
        </w:rPr>
        <w:t>icated</w:t>
      </w:r>
      <w:r w:rsidR="00D03193" w:rsidRPr="00025A32">
        <w:rPr>
          <w:color w:val="000000" w:themeColor="text1"/>
          <w:lang w:val="en-GB"/>
        </w:rPr>
        <w:t xml:space="preserve"> phenomenon</w:t>
      </w:r>
      <w:r w:rsidR="007200D8" w:rsidRPr="00025A32">
        <w:rPr>
          <w:color w:val="000000" w:themeColor="text1"/>
          <w:lang w:val="en-GB"/>
        </w:rPr>
        <w:t xml:space="preserve"> that </w:t>
      </w:r>
      <w:r w:rsidR="00D03193" w:rsidRPr="00025A32">
        <w:rPr>
          <w:color w:val="000000" w:themeColor="text1"/>
          <w:lang w:val="en-GB"/>
        </w:rPr>
        <w:t>encompass</w:t>
      </w:r>
      <w:r w:rsidR="00A66A50" w:rsidRPr="00025A32">
        <w:rPr>
          <w:color w:val="000000" w:themeColor="text1"/>
          <w:lang w:val="en-GB"/>
        </w:rPr>
        <w:t>es</w:t>
      </w:r>
      <w:r w:rsidR="00D03193" w:rsidRPr="00025A32">
        <w:rPr>
          <w:color w:val="000000" w:themeColor="text1"/>
          <w:lang w:val="en-GB"/>
        </w:rPr>
        <w:t xml:space="preserve"> several dimensions. </w:t>
      </w:r>
      <w:r w:rsidR="00A66A50" w:rsidRPr="00025A32">
        <w:rPr>
          <w:color w:val="000000" w:themeColor="text1"/>
          <w:lang w:val="en-GB"/>
        </w:rPr>
        <w:t>It</w:t>
      </w:r>
      <w:r w:rsidR="00D03193" w:rsidRPr="00025A32">
        <w:rPr>
          <w:color w:val="000000" w:themeColor="text1"/>
          <w:lang w:val="en-GB"/>
        </w:rPr>
        <w:t xml:space="preserve"> is not exempt from controversy and limitations. Ross and </w:t>
      </w:r>
      <w:proofErr w:type="spellStart"/>
      <w:r w:rsidR="00D03193" w:rsidRPr="00025A32">
        <w:rPr>
          <w:color w:val="000000" w:themeColor="text1"/>
          <w:lang w:val="en-GB"/>
        </w:rPr>
        <w:t>Leathwood</w:t>
      </w:r>
      <w:proofErr w:type="spellEnd"/>
      <w:r w:rsidR="00D03193" w:rsidRPr="00025A32">
        <w:rPr>
          <w:color w:val="000000" w:themeColor="text1"/>
          <w:lang w:val="en-GB"/>
        </w:rPr>
        <w:t xml:space="preserve"> (2013) </w:t>
      </w:r>
      <w:r w:rsidR="00BB78A5" w:rsidRPr="00025A32">
        <w:rPr>
          <w:color w:val="000000" w:themeColor="text1"/>
          <w:lang w:val="en-GB"/>
        </w:rPr>
        <w:t xml:space="preserve">argued </w:t>
      </w:r>
      <w:r w:rsidR="00D03193" w:rsidRPr="00025A32">
        <w:rPr>
          <w:color w:val="000000" w:themeColor="text1"/>
          <w:lang w:val="en-GB"/>
        </w:rPr>
        <w:t xml:space="preserve">that </w:t>
      </w:r>
      <w:r w:rsidR="00BB78A5" w:rsidRPr="00025A32">
        <w:rPr>
          <w:color w:val="000000" w:themeColor="text1"/>
          <w:lang w:val="en-GB"/>
        </w:rPr>
        <w:t>it oversimplifies</w:t>
      </w:r>
      <w:r w:rsidR="00D03193" w:rsidRPr="00025A32">
        <w:rPr>
          <w:color w:val="000000" w:themeColor="text1"/>
          <w:lang w:val="en-GB"/>
        </w:rPr>
        <w:t xml:space="preserve"> </w:t>
      </w:r>
      <w:r w:rsidR="00BB78A5" w:rsidRPr="00025A32">
        <w:rPr>
          <w:color w:val="000000" w:themeColor="text1"/>
          <w:lang w:val="en-GB"/>
        </w:rPr>
        <w:t xml:space="preserve">the </w:t>
      </w:r>
      <w:r w:rsidR="00D03193" w:rsidRPr="00025A32">
        <w:rPr>
          <w:color w:val="000000" w:themeColor="text1"/>
          <w:lang w:val="en-GB"/>
        </w:rPr>
        <w:t>nature of education pathwa</w:t>
      </w:r>
      <w:r w:rsidR="00D03193" w:rsidRPr="00F96EBF">
        <w:rPr>
          <w:color w:val="000000" w:themeColor="text1"/>
          <w:lang w:val="en-GB"/>
        </w:rPr>
        <w:t xml:space="preserve">ys and the relationship between education and the labour market, </w:t>
      </w:r>
      <w:r w:rsidR="00BB78A5" w:rsidRPr="00F96EBF">
        <w:rPr>
          <w:color w:val="000000" w:themeColor="text1"/>
          <w:lang w:val="en-GB"/>
        </w:rPr>
        <w:t>and</w:t>
      </w:r>
      <w:r w:rsidR="00D03193" w:rsidRPr="00F96EBF">
        <w:rPr>
          <w:color w:val="000000" w:themeColor="text1"/>
          <w:lang w:val="en-GB"/>
        </w:rPr>
        <w:t xml:space="preserve"> Fernández, Muñoz, Braña &amp; Antón (2010) highlight</w:t>
      </w:r>
      <w:r w:rsidR="00BB78A5" w:rsidRPr="00F96EBF">
        <w:rPr>
          <w:color w:val="000000" w:themeColor="text1"/>
          <w:lang w:val="en-GB"/>
        </w:rPr>
        <w:t>ed</w:t>
      </w:r>
      <w:r w:rsidR="00D03193" w:rsidRPr="00F96EBF">
        <w:rPr>
          <w:color w:val="000000" w:themeColor="text1"/>
          <w:lang w:val="en-GB"/>
        </w:rPr>
        <w:t xml:space="preserve"> </w:t>
      </w:r>
      <w:r w:rsidR="00BB78A5" w:rsidRPr="00F96EBF">
        <w:rPr>
          <w:color w:val="000000" w:themeColor="text1"/>
          <w:lang w:val="en-GB"/>
        </w:rPr>
        <w:t>its</w:t>
      </w:r>
      <w:r w:rsidR="00D03193" w:rsidRPr="00F96EBF">
        <w:rPr>
          <w:color w:val="000000" w:themeColor="text1"/>
          <w:lang w:val="en-GB"/>
        </w:rPr>
        <w:t xml:space="preserve"> inconsistencies.</w:t>
      </w:r>
    </w:p>
    <w:p w14:paraId="759E8BA6" w14:textId="77777777" w:rsidR="00242F9C" w:rsidRPr="00F96EBF" w:rsidRDefault="00242F9C" w:rsidP="006D08A5">
      <w:pPr>
        <w:rPr>
          <w:color w:val="000000" w:themeColor="text1"/>
          <w:lang w:val="en-GB"/>
        </w:rPr>
      </w:pPr>
    </w:p>
    <w:p w14:paraId="0DD236A6" w14:textId="754E07A3" w:rsidR="004A6B8A" w:rsidRPr="007200D8" w:rsidRDefault="00242F9C" w:rsidP="006D08A5">
      <w:pPr>
        <w:pStyle w:val="Ttulo2"/>
        <w:spacing w:before="0" w:after="0"/>
        <w:contextualSpacing/>
        <w:jc w:val="left"/>
        <w:rPr>
          <w:rFonts w:cs="Times New Roman"/>
          <w:caps w:val="0"/>
          <w:sz w:val="28"/>
          <w:szCs w:val="28"/>
        </w:rPr>
      </w:pPr>
      <w:r w:rsidRPr="00674574">
        <w:rPr>
          <w:rFonts w:cs="Times New Roman"/>
          <w:caps w:val="0"/>
          <w:sz w:val="28"/>
          <w:szCs w:val="28"/>
        </w:rPr>
        <w:t xml:space="preserve">2.2 </w:t>
      </w:r>
      <w:r w:rsidR="002E7542" w:rsidRPr="00674574">
        <w:rPr>
          <w:rFonts w:cs="Times New Roman"/>
          <w:caps w:val="0"/>
          <w:sz w:val="28"/>
          <w:szCs w:val="28"/>
        </w:rPr>
        <w:t xml:space="preserve">Gender </w:t>
      </w:r>
      <w:r w:rsidR="002E7542" w:rsidRPr="007200D8">
        <w:rPr>
          <w:rFonts w:cs="Times New Roman"/>
          <w:caps w:val="0"/>
          <w:sz w:val="28"/>
          <w:szCs w:val="28"/>
        </w:rPr>
        <w:t>and regional inequalities</w:t>
      </w:r>
    </w:p>
    <w:p w14:paraId="0D2CEFC6" w14:textId="7685759A" w:rsidR="00364F9F" w:rsidRDefault="00BB78A5" w:rsidP="0044317E">
      <w:pPr>
        <w:jc w:val="both"/>
        <w:rPr>
          <w:color w:val="000000" w:themeColor="text1"/>
          <w:lang w:val="en-GB"/>
        </w:rPr>
      </w:pPr>
      <w:r w:rsidRPr="00F96EBF">
        <w:rPr>
          <w:color w:val="000000" w:themeColor="text1"/>
          <w:lang w:val="en-GB"/>
        </w:rPr>
        <w:t>There</w:t>
      </w:r>
      <w:r w:rsidR="00D84068" w:rsidRPr="00F96EBF">
        <w:rPr>
          <w:color w:val="000000" w:themeColor="text1"/>
          <w:lang w:val="en-GB"/>
        </w:rPr>
        <w:t xml:space="preserve"> is a wide body of literature that focuses on the relationship between gender and educational outcomes</w:t>
      </w:r>
      <w:r w:rsidR="00E55525" w:rsidRPr="00F96EBF">
        <w:rPr>
          <w:color w:val="000000" w:themeColor="text1"/>
          <w:lang w:val="en-GB"/>
        </w:rPr>
        <w:t xml:space="preserve"> (Van Hek, </w:t>
      </w:r>
      <w:proofErr w:type="spellStart"/>
      <w:r w:rsidR="00E55525" w:rsidRPr="00F96EBF">
        <w:rPr>
          <w:color w:val="000000" w:themeColor="text1"/>
          <w:lang w:val="en-GB"/>
        </w:rPr>
        <w:t>Kraaykamp</w:t>
      </w:r>
      <w:proofErr w:type="spellEnd"/>
      <w:r w:rsidR="00E55525" w:rsidRPr="00F96EBF">
        <w:rPr>
          <w:color w:val="000000" w:themeColor="text1"/>
          <w:lang w:val="en-GB"/>
        </w:rPr>
        <w:t xml:space="preserve">, &amp; Wolbers, </w:t>
      </w:r>
      <w:r w:rsidR="007B7852" w:rsidRPr="00F96EBF">
        <w:rPr>
          <w:color w:val="000000" w:themeColor="text1"/>
          <w:lang w:val="en-GB"/>
        </w:rPr>
        <w:t>2016)</w:t>
      </w:r>
      <w:r w:rsidR="00D84068" w:rsidRPr="00F96EBF">
        <w:rPr>
          <w:color w:val="000000" w:themeColor="text1"/>
          <w:lang w:val="en-GB"/>
        </w:rPr>
        <w:t>.</w:t>
      </w:r>
      <w:r w:rsidR="00AE047E" w:rsidRPr="00F96EBF">
        <w:rPr>
          <w:color w:val="000000" w:themeColor="text1"/>
          <w:lang w:val="en-GB"/>
        </w:rPr>
        <w:t xml:space="preserve"> </w:t>
      </w:r>
      <w:r w:rsidR="003F64BC" w:rsidRPr="00674574">
        <w:rPr>
          <w:color w:val="000000" w:themeColor="text1"/>
          <w:lang w:val="en-GB"/>
        </w:rPr>
        <w:t xml:space="preserve">As </w:t>
      </w:r>
      <w:r w:rsidR="00290E4E" w:rsidRPr="00674574">
        <w:rPr>
          <w:color w:val="000000" w:themeColor="text1"/>
          <w:lang w:val="en-GB"/>
        </w:rPr>
        <w:t xml:space="preserve">noted by </w:t>
      </w:r>
      <w:proofErr w:type="spellStart"/>
      <w:r w:rsidR="003F64BC" w:rsidRPr="00674574">
        <w:rPr>
          <w:color w:val="000000" w:themeColor="text1"/>
          <w:lang w:val="en-GB"/>
        </w:rPr>
        <w:t>Tarabini</w:t>
      </w:r>
      <w:proofErr w:type="spellEnd"/>
      <w:r w:rsidR="0062124E" w:rsidRPr="00674574">
        <w:rPr>
          <w:color w:val="000000" w:themeColor="text1"/>
          <w:lang w:val="en-GB"/>
        </w:rPr>
        <w:t xml:space="preserve"> (201</w:t>
      </w:r>
      <w:r w:rsidR="007A3C34" w:rsidRPr="00674574">
        <w:rPr>
          <w:color w:val="000000" w:themeColor="text1"/>
          <w:lang w:val="en-GB"/>
        </w:rPr>
        <w:t>9</w:t>
      </w:r>
      <w:r w:rsidR="0062124E" w:rsidRPr="00674574">
        <w:rPr>
          <w:color w:val="000000" w:themeColor="text1"/>
          <w:lang w:val="en-GB"/>
        </w:rPr>
        <w:t xml:space="preserve">), there are multiple factors that affect </w:t>
      </w:r>
      <w:r w:rsidR="0017418D" w:rsidRPr="00674574">
        <w:rPr>
          <w:color w:val="000000" w:themeColor="text1"/>
          <w:lang w:val="en-GB"/>
        </w:rPr>
        <w:t>differences</w:t>
      </w:r>
      <w:r w:rsidR="00AA28D1" w:rsidRPr="00674574">
        <w:rPr>
          <w:color w:val="000000" w:themeColor="text1"/>
          <w:lang w:val="en-GB"/>
        </w:rPr>
        <w:t xml:space="preserve"> in</w:t>
      </w:r>
      <w:r w:rsidR="0062124E" w:rsidRPr="00674574">
        <w:rPr>
          <w:color w:val="000000" w:themeColor="text1"/>
          <w:lang w:val="en-GB"/>
        </w:rPr>
        <w:t xml:space="preserve"> educational outcomes</w:t>
      </w:r>
      <w:r w:rsidR="00AA28D1" w:rsidRPr="00674574">
        <w:rPr>
          <w:color w:val="000000" w:themeColor="text1"/>
          <w:lang w:val="en-GB"/>
        </w:rPr>
        <w:t xml:space="preserve"> </w:t>
      </w:r>
      <w:r w:rsidR="00290E4E" w:rsidRPr="00674574">
        <w:rPr>
          <w:color w:val="000000" w:themeColor="text1"/>
          <w:lang w:val="en-GB"/>
        </w:rPr>
        <w:t>by</w:t>
      </w:r>
      <w:r w:rsidR="00AA28D1" w:rsidRPr="00674574">
        <w:rPr>
          <w:color w:val="000000" w:themeColor="text1"/>
          <w:lang w:val="en-GB"/>
        </w:rPr>
        <w:t xml:space="preserve"> gender</w:t>
      </w:r>
      <w:r w:rsidR="0062124E" w:rsidRPr="00674574">
        <w:rPr>
          <w:color w:val="000000" w:themeColor="text1"/>
          <w:lang w:val="en-GB"/>
        </w:rPr>
        <w:t>. Among them, gender sociali</w:t>
      </w:r>
      <w:r w:rsidR="00561065" w:rsidRPr="00674574">
        <w:rPr>
          <w:color w:val="000000" w:themeColor="text1"/>
          <w:lang w:val="en-GB"/>
        </w:rPr>
        <w:t>s</w:t>
      </w:r>
      <w:r w:rsidR="0062124E" w:rsidRPr="00674574">
        <w:rPr>
          <w:color w:val="000000" w:themeColor="text1"/>
          <w:lang w:val="en-GB"/>
        </w:rPr>
        <w:t>ation seems to play a crucial role, as girls and boys are exposed to different influence</w:t>
      </w:r>
      <w:r w:rsidR="00561065" w:rsidRPr="00674574">
        <w:rPr>
          <w:color w:val="000000" w:themeColor="text1"/>
          <w:lang w:val="en-GB"/>
        </w:rPr>
        <w:t>s</w:t>
      </w:r>
      <w:r w:rsidR="0062124E" w:rsidRPr="00674574">
        <w:rPr>
          <w:color w:val="000000" w:themeColor="text1"/>
          <w:lang w:val="en-GB"/>
        </w:rPr>
        <w:t xml:space="preserve"> from families, friends, teachers</w:t>
      </w:r>
      <w:r w:rsidR="00290E4E" w:rsidRPr="00674574">
        <w:rPr>
          <w:color w:val="000000" w:themeColor="text1"/>
          <w:lang w:val="en-GB"/>
        </w:rPr>
        <w:t xml:space="preserve"> and others</w:t>
      </w:r>
      <w:r w:rsidR="00D01F41" w:rsidRPr="00674574">
        <w:rPr>
          <w:color w:val="000000" w:themeColor="text1"/>
          <w:lang w:val="en-GB"/>
        </w:rPr>
        <w:t xml:space="preserve"> they </w:t>
      </w:r>
      <w:proofErr w:type="gramStart"/>
      <w:r w:rsidR="00D01F41" w:rsidRPr="00674574">
        <w:rPr>
          <w:color w:val="000000" w:themeColor="text1"/>
          <w:lang w:val="en-GB"/>
        </w:rPr>
        <w:t>come into contact with</w:t>
      </w:r>
      <w:proofErr w:type="gramEnd"/>
      <w:r w:rsidR="00D01F41" w:rsidRPr="00674574">
        <w:rPr>
          <w:color w:val="000000" w:themeColor="text1"/>
          <w:lang w:val="en-GB"/>
        </w:rPr>
        <w:t>.</w:t>
      </w:r>
      <w:r w:rsidR="0062124E" w:rsidRPr="00674574">
        <w:rPr>
          <w:color w:val="000000" w:themeColor="text1"/>
          <w:lang w:val="en-GB"/>
        </w:rPr>
        <w:t xml:space="preserve"> </w:t>
      </w:r>
      <w:r w:rsidR="00F91AC6" w:rsidRPr="00F96EBF">
        <w:rPr>
          <w:color w:val="000000" w:themeColor="text1"/>
          <w:lang w:val="en-GB"/>
        </w:rPr>
        <w:t>For this reason</w:t>
      </w:r>
      <w:r w:rsidR="00665E3E" w:rsidRPr="00F96EBF">
        <w:rPr>
          <w:color w:val="000000" w:themeColor="text1"/>
          <w:lang w:val="en-GB"/>
        </w:rPr>
        <w:t>, s</w:t>
      </w:r>
      <w:r w:rsidR="00D84068" w:rsidRPr="00F96EBF">
        <w:rPr>
          <w:color w:val="000000" w:themeColor="text1"/>
          <w:lang w:val="en-GB"/>
        </w:rPr>
        <w:t xml:space="preserve">everal authors have used </w:t>
      </w:r>
      <w:r w:rsidRPr="00F96EBF">
        <w:rPr>
          <w:color w:val="000000" w:themeColor="text1"/>
          <w:lang w:val="en-GB"/>
        </w:rPr>
        <w:t xml:space="preserve">Bourdieu’s theory of cultural and social reproduction (Bourdieu &amp; </w:t>
      </w:r>
      <w:proofErr w:type="spellStart"/>
      <w:r w:rsidRPr="00F96EBF">
        <w:rPr>
          <w:color w:val="000000" w:themeColor="text1"/>
          <w:lang w:val="en-GB"/>
        </w:rPr>
        <w:t>Passeron</w:t>
      </w:r>
      <w:proofErr w:type="spellEnd"/>
      <w:r w:rsidRPr="00F96EBF">
        <w:rPr>
          <w:color w:val="000000" w:themeColor="text1"/>
          <w:lang w:val="en-GB"/>
        </w:rPr>
        <w:t xml:space="preserve">, 1977) as a </w:t>
      </w:r>
      <w:r w:rsidR="00D84068" w:rsidRPr="00F96EBF">
        <w:rPr>
          <w:color w:val="000000" w:themeColor="text1"/>
          <w:lang w:val="en-GB"/>
        </w:rPr>
        <w:t xml:space="preserve">framework to study </w:t>
      </w:r>
      <w:r w:rsidR="00D31C32" w:rsidRPr="00F96EBF">
        <w:rPr>
          <w:color w:val="000000" w:themeColor="text1"/>
          <w:lang w:val="en-GB"/>
        </w:rPr>
        <w:t xml:space="preserve">the way in which </w:t>
      </w:r>
      <w:r w:rsidR="00D84068" w:rsidRPr="00F96EBF">
        <w:rPr>
          <w:color w:val="000000" w:themeColor="text1"/>
          <w:lang w:val="en-GB"/>
        </w:rPr>
        <w:t>gender and gendered sociali</w:t>
      </w:r>
      <w:r w:rsidRPr="00F96EBF">
        <w:rPr>
          <w:color w:val="000000" w:themeColor="text1"/>
          <w:lang w:val="en-GB"/>
        </w:rPr>
        <w:t>s</w:t>
      </w:r>
      <w:r w:rsidR="00D84068" w:rsidRPr="00F96EBF">
        <w:rPr>
          <w:color w:val="000000" w:themeColor="text1"/>
          <w:lang w:val="en-GB"/>
        </w:rPr>
        <w:t>ation influence educational outcomes (Edgerton, Peter, &amp; Roberts, 2014</w:t>
      </w:r>
      <w:r w:rsidR="00BF2E57" w:rsidRPr="00F96EBF">
        <w:rPr>
          <w:color w:val="000000" w:themeColor="text1"/>
          <w:lang w:val="en-GB"/>
        </w:rPr>
        <w:t>)</w:t>
      </w:r>
      <w:r w:rsidR="00D84068" w:rsidRPr="00F96EBF">
        <w:rPr>
          <w:color w:val="000000" w:themeColor="text1"/>
          <w:lang w:val="en-GB"/>
        </w:rPr>
        <w:t>.</w:t>
      </w:r>
      <w:r w:rsidR="00DC3D6D" w:rsidRPr="00F96EBF">
        <w:rPr>
          <w:color w:val="000000" w:themeColor="text1"/>
          <w:lang w:val="en-GB"/>
        </w:rPr>
        <w:t xml:space="preserve"> For instance, Reay (2018) argue</w:t>
      </w:r>
      <w:r w:rsidR="00D31C32" w:rsidRPr="00F96EBF">
        <w:rPr>
          <w:color w:val="000000" w:themeColor="text1"/>
          <w:lang w:val="en-GB"/>
        </w:rPr>
        <w:t>d</w:t>
      </w:r>
      <w:r w:rsidR="00DC3D6D" w:rsidRPr="00F96EBF">
        <w:rPr>
          <w:color w:val="000000" w:themeColor="text1"/>
          <w:lang w:val="en-GB"/>
        </w:rPr>
        <w:t xml:space="preserve"> that </w:t>
      </w:r>
      <w:r w:rsidR="00D31C32" w:rsidRPr="00F96EBF">
        <w:rPr>
          <w:color w:val="000000" w:themeColor="text1"/>
          <w:lang w:val="en-GB"/>
        </w:rPr>
        <w:t xml:space="preserve">it </w:t>
      </w:r>
      <w:r w:rsidR="009E2D08" w:rsidRPr="00F96EBF">
        <w:rPr>
          <w:color w:val="000000" w:themeColor="text1"/>
          <w:lang w:val="en-GB"/>
        </w:rPr>
        <w:t>is difficult for</w:t>
      </w:r>
      <w:r w:rsidR="00BF2E57" w:rsidRPr="00F96EBF">
        <w:rPr>
          <w:color w:val="000000" w:themeColor="text1"/>
          <w:lang w:val="en-GB"/>
        </w:rPr>
        <w:t xml:space="preserve"> working-class</w:t>
      </w:r>
      <w:r w:rsidR="009E2D08" w:rsidRPr="00F96EBF">
        <w:rPr>
          <w:color w:val="000000" w:themeColor="text1"/>
          <w:lang w:val="en-GB"/>
        </w:rPr>
        <w:t xml:space="preserve"> boys to maintain </w:t>
      </w:r>
      <w:r w:rsidR="00D31C32" w:rsidRPr="00F96EBF">
        <w:rPr>
          <w:color w:val="000000" w:themeColor="text1"/>
          <w:lang w:val="en-GB"/>
        </w:rPr>
        <w:t>status in their</w:t>
      </w:r>
      <w:r w:rsidR="009E2D08" w:rsidRPr="00F96EBF">
        <w:rPr>
          <w:color w:val="000000" w:themeColor="text1"/>
          <w:lang w:val="en-GB"/>
        </w:rPr>
        <w:t xml:space="preserve"> male peer group whilst trying to succeed </w:t>
      </w:r>
      <w:r w:rsidR="00D31C32" w:rsidRPr="00F96EBF">
        <w:rPr>
          <w:color w:val="000000" w:themeColor="text1"/>
          <w:lang w:val="en-GB"/>
        </w:rPr>
        <w:t>at</w:t>
      </w:r>
      <w:r w:rsidR="009E2D08" w:rsidRPr="00F96EBF">
        <w:rPr>
          <w:color w:val="000000" w:themeColor="text1"/>
          <w:lang w:val="en-GB"/>
        </w:rPr>
        <w:t xml:space="preserve"> </w:t>
      </w:r>
      <w:proofErr w:type="gramStart"/>
      <w:r w:rsidR="009E2D08" w:rsidRPr="00F96EBF">
        <w:rPr>
          <w:color w:val="000000" w:themeColor="text1"/>
          <w:lang w:val="en-GB"/>
        </w:rPr>
        <w:t xml:space="preserve">school, </w:t>
      </w:r>
      <w:r w:rsidR="00D31C32" w:rsidRPr="00F96EBF">
        <w:rPr>
          <w:color w:val="000000" w:themeColor="text1"/>
          <w:lang w:val="en-GB"/>
        </w:rPr>
        <w:t>and</w:t>
      </w:r>
      <w:proofErr w:type="gramEnd"/>
      <w:r w:rsidR="00D31C32" w:rsidRPr="00F96EBF">
        <w:rPr>
          <w:color w:val="000000" w:themeColor="text1"/>
          <w:lang w:val="en-GB"/>
        </w:rPr>
        <w:t xml:space="preserve"> stated that they therefore </w:t>
      </w:r>
      <w:r w:rsidR="009E2D08" w:rsidRPr="00F96EBF">
        <w:rPr>
          <w:color w:val="000000" w:themeColor="text1"/>
          <w:lang w:val="en-GB"/>
        </w:rPr>
        <w:t>experienc</w:t>
      </w:r>
      <w:r w:rsidR="00D31C32" w:rsidRPr="00F96EBF">
        <w:rPr>
          <w:color w:val="000000" w:themeColor="text1"/>
          <w:lang w:val="en-GB"/>
        </w:rPr>
        <w:t>e</w:t>
      </w:r>
      <w:r w:rsidR="009E2D08" w:rsidRPr="00F96EBF">
        <w:rPr>
          <w:color w:val="000000" w:themeColor="text1"/>
          <w:lang w:val="en-GB"/>
        </w:rPr>
        <w:t xml:space="preserve"> an internal conflict</w:t>
      </w:r>
      <w:r w:rsidR="00364F9F" w:rsidRPr="00F96EBF">
        <w:rPr>
          <w:color w:val="000000" w:themeColor="text1"/>
          <w:lang w:val="en-GB"/>
        </w:rPr>
        <w:t>. Hence, boys and girls build different habitus in their schooling process (Reay, 2004)</w:t>
      </w:r>
      <w:r w:rsidR="009E2D08" w:rsidRPr="00F96EBF">
        <w:rPr>
          <w:color w:val="000000" w:themeColor="text1"/>
          <w:lang w:val="en-GB"/>
        </w:rPr>
        <w:t>.</w:t>
      </w:r>
      <w:r w:rsidR="00D84068" w:rsidRPr="00F96EBF">
        <w:rPr>
          <w:color w:val="000000" w:themeColor="text1"/>
          <w:lang w:val="en-GB"/>
        </w:rPr>
        <w:t xml:space="preserve"> </w:t>
      </w:r>
    </w:p>
    <w:p w14:paraId="78FD7B4B" w14:textId="77777777" w:rsidR="0044317E" w:rsidRPr="00F96EBF" w:rsidRDefault="0044317E" w:rsidP="0044317E">
      <w:pPr>
        <w:jc w:val="both"/>
        <w:rPr>
          <w:color w:val="000000" w:themeColor="text1"/>
          <w:lang w:val="en-GB"/>
        </w:rPr>
      </w:pPr>
    </w:p>
    <w:p w14:paraId="3DA95916" w14:textId="7486C13F" w:rsidR="00FB5998" w:rsidRDefault="00665CD9" w:rsidP="0044317E">
      <w:pPr>
        <w:jc w:val="both"/>
        <w:rPr>
          <w:color w:val="000000" w:themeColor="text1"/>
          <w:lang w:val="en-GB"/>
        </w:rPr>
      </w:pPr>
      <w:r w:rsidRPr="00F96EBF">
        <w:rPr>
          <w:color w:val="000000" w:themeColor="text1"/>
          <w:lang w:val="en-GB"/>
        </w:rPr>
        <w:t>Several researche</w:t>
      </w:r>
      <w:r w:rsidR="00D31C32" w:rsidRPr="00F96EBF">
        <w:rPr>
          <w:color w:val="000000" w:themeColor="text1"/>
          <w:lang w:val="en-GB"/>
        </w:rPr>
        <w:t>r</w:t>
      </w:r>
      <w:r w:rsidRPr="00F96EBF">
        <w:rPr>
          <w:color w:val="000000" w:themeColor="text1"/>
          <w:lang w:val="en-GB"/>
        </w:rPr>
        <w:t xml:space="preserve">s </w:t>
      </w:r>
      <w:r w:rsidR="00D31C32" w:rsidRPr="00F96EBF">
        <w:rPr>
          <w:color w:val="000000" w:themeColor="text1"/>
          <w:lang w:val="en-GB"/>
        </w:rPr>
        <w:t>have considered</w:t>
      </w:r>
      <w:r w:rsidRPr="00F96EBF">
        <w:rPr>
          <w:color w:val="000000" w:themeColor="text1"/>
          <w:lang w:val="en-GB"/>
        </w:rPr>
        <w:t xml:space="preserve"> the </w:t>
      </w:r>
      <w:r w:rsidR="00D15D71" w:rsidRPr="00F96EBF">
        <w:rPr>
          <w:color w:val="000000" w:themeColor="text1"/>
          <w:lang w:val="en-GB"/>
        </w:rPr>
        <w:t>differential</w:t>
      </w:r>
      <w:r w:rsidRPr="00F96EBF">
        <w:rPr>
          <w:color w:val="000000" w:themeColor="text1"/>
          <w:lang w:val="en-GB"/>
        </w:rPr>
        <w:t xml:space="preserve"> pressure</w:t>
      </w:r>
      <w:r w:rsidR="00D31C32" w:rsidRPr="00F96EBF">
        <w:rPr>
          <w:color w:val="000000" w:themeColor="text1"/>
          <w:lang w:val="en-GB"/>
        </w:rPr>
        <w:t>s</w:t>
      </w:r>
      <w:r w:rsidRPr="00F96EBF">
        <w:rPr>
          <w:color w:val="000000" w:themeColor="text1"/>
          <w:lang w:val="en-GB"/>
        </w:rPr>
        <w:t xml:space="preserve"> of</w:t>
      </w:r>
      <w:r w:rsidR="00D31C32" w:rsidRPr="00F96EBF">
        <w:rPr>
          <w:color w:val="000000" w:themeColor="text1"/>
          <w:lang w:val="en-GB"/>
        </w:rPr>
        <w:t xml:space="preserve"> the</w:t>
      </w:r>
      <w:r w:rsidRPr="00F96EBF">
        <w:rPr>
          <w:color w:val="000000" w:themeColor="text1"/>
          <w:lang w:val="en-GB"/>
        </w:rPr>
        <w:t xml:space="preserve"> labour market </w:t>
      </w:r>
      <w:r w:rsidR="00D31C32" w:rsidRPr="00F96EBF">
        <w:rPr>
          <w:color w:val="000000" w:themeColor="text1"/>
          <w:lang w:val="en-GB"/>
        </w:rPr>
        <w:t>in relation to</w:t>
      </w:r>
      <w:r w:rsidRPr="00F96EBF">
        <w:rPr>
          <w:color w:val="000000" w:themeColor="text1"/>
          <w:lang w:val="en-GB"/>
        </w:rPr>
        <w:t xml:space="preserve"> gender. </w:t>
      </w:r>
      <w:r w:rsidR="00E51C1A" w:rsidRPr="00F96EBF">
        <w:rPr>
          <w:color w:val="000000" w:themeColor="text1"/>
          <w:lang w:val="en-GB"/>
        </w:rPr>
        <w:t>Martínez (2017) point</w:t>
      </w:r>
      <w:r w:rsidR="00D31C32" w:rsidRPr="00F96EBF">
        <w:rPr>
          <w:color w:val="000000" w:themeColor="text1"/>
          <w:lang w:val="en-GB"/>
        </w:rPr>
        <w:t>ed</w:t>
      </w:r>
      <w:r w:rsidR="00E51C1A" w:rsidRPr="00F96EBF">
        <w:rPr>
          <w:color w:val="000000" w:themeColor="text1"/>
          <w:lang w:val="en-GB"/>
        </w:rPr>
        <w:t xml:space="preserve"> out that labour market expectations are unequa</w:t>
      </w:r>
      <w:r w:rsidR="00DE192B" w:rsidRPr="00F96EBF">
        <w:rPr>
          <w:color w:val="000000" w:themeColor="text1"/>
          <w:lang w:val="en-GB"/>
        </w:rPr>
        <w:t>l,</w:t>
      </w:r>
      <w:r w:rsidR="00924D75" w:rsidRPr="00F96EBF">
        <w:rPr>
          <w:color w:val="000000" w:themeColor="text1"/>
          <w:lang w:val="en-GB"/>
        </w:rPr>
        <w:t xml:space="preserve"> </w:t>
      </w:r>
      <w:r w:rsidR="00DE192B" w:rsidRPr="00F96EBF">
        <w:rPr>
          <w:color w:val="000000" w:themeColor="text1"/>
          <w:lang w:val="en-GB"/>
        </w:rPr>
        <w:t>as wom</w:t>
      </w:r>
      <w:r w:rsidR="00D31C32" w:rsidRPr="00F96EBF">
        <w:rPr>
          <w:color w:val="000000" w:themeColor="text1"/>
          <w:lang w:val="en-GB"/>
        </w:rPr>
        <w:t>e</w:t>
      </w:r>
      <w:r w:rsidR="00DE192B" w:rsidRPr="00F96EBF">
        <w:rPr>
          <w:color w:val="000000" w:themeColor="text1"/>
          <w:lang w:val="en-GB"/>
        </w:rPr>
        <w:t xml:space="preserve">n </w:t>
      </w:r>
      <w:r w:rsidR="00924D75" w:rsidRPr="00F96EBF">
        <w:rPr>
          <w:color w:val="000000" w:themeColor="text1"/>
          <w:lang w:val="en-GB"/>
        </w:rPr>
        <w:t xml:space="preserve">with lower levels of education </w:t>
      </w:r>
      <w:r w:rsidR="00DE192B" w:rsidRPr="00F96EBF">
        <w:rPr>
          <w:color w:val="000000" w:themeColor="text1"/>
          <w:lang w:val="en-GB"/>
        </w:rPr>
        <w:t xml:space="preserve">have worse results in the labour market </w:t>
      </w:r>
      <w:r w:rsidR="00D31C32" w:rsidRPr="00F96EBF">
        <w:rPr>
          <w:color w:val="000000" w:themeColor="text1"/>
          <w:lang w:val="en-GB"/>
        </w:rPr>
        <w:t>than</w:t>
      </w:r>
      <w:r w:rsidR="00924D75" w:rsidRPr="00F96EBF">
        <w:rPr>
          <w:color w:val="000000" w:themeColor="text1"/>
          <w:lang w:val="en-GB"/>
        </w:rPr>
        <w:t xml:space="preserve"> men</w:t>
      </w:r>
      <w:r w:rsidRPr="00F96EBF">
        <w:rPr>
          <w:color w:val="000000" w:themeColor="text1"/>
          <w:lang w:val="en-GB"/>
        </w:rPr>
        <w:t>. Felgueroso, Gutiérrez-Domènech &amp; Jiménez-Martín (2014) also not</w:t>
      </w:r>
      <w:r w:rsidR="00D31C32" w:rsidRPr="00F96EBF">
        <w:rPr>
          <w:color w:val="000000" w:themeColor="text1"/>
          <w:lang w:val="en-GB"/>
        </w:rPr>
        <w:t>ed</w:t>
      </w:r>
      <w:r w:rsidRPr="00F96EBF">
        <w:rPr>
          <w:color w:val="000000" w:themeColor="text1"/>
          <w:lang w:val="en-GB"/>
        </w:rPr>
        <w:t xml:space="preserve"> that women</w:t>
      </w:r>
      <w:r w:rsidR="00D31C32" w:rsidRPr="00F96EBF">
        <w:rPr>
          <w:color w:val="000000" w:themeColor="text1"/>
          <w:lang w:val="en-GB"/>
        </w:rPr>
        <w:t xml:space="preserve"> and men</w:t>
      </w:r>
      <w:r w:rsidRPr="00F96EBF">
        <w:rPr>
          <w:color w:val="000000" w:themeColor="text1"/>
          <w:lang w:val="en-GB"/>
        </w:rPr>
        <w:t xml:space="preserve"> face unequal opportunities in the labour market</w:t>
      </w:r>
      <w:r w:rsidR="00924D75" w:rsidRPr="00F96EBF">
        <w:rPr>
          <w:color w:val="000000" w:themeColor="text1"/>
          <w:lang w:val="en-GB"/>
        </w:rPr>
        <w:t xml:space="preserve">. </w:t>
      </w:r>
      <w:r w:rsidR="00892D65" w:rsidRPr="00F96EBF">
        <w:rPr>
          <w:color w:val="000000" w:themeColor="text1"/>
          <w:lang w:val="en-GB"/>
        </w:rPr>
        <w:t>Family</w:t>
      </w:r>
      <w:r w:rsidRPr="00F96EBF">
        <w:rPr>
          <w:color w:val="000000" w:themeColor="text1"/>
          <w:lang w:val="en-GB"/>
        </w:rPr>
        <w:t xml:space="preserve"> expectations</w:t>
      </w:r>
      <w:r w:rsidR="00892D65" w:rsidRPr="00F96EBF">
        <w:rPr>
          <w:color w:val="000000" w:themeColor="text1"/>
          <w:lang w:val="en-GB"/>
        </w:rPr>
        <w:t xml:space="preserve"> </w:t>
      </w:r>
      <w:r w:rsidR="00924D75" w:rsidRPr="00F96EBF">
        <w:rPr>
          <w:color w:val="000000" w:themeColor="text1"/>
          <w:lang w:val="en-GB"/>
        </w:rPr>
        <w:lastRenderedPageBreak/>
        <w:t xml:space="preserve">reproduce </w:t>
      </w:r>
      <w:r w:rsidR="002113EE" w:rsidRPr="00F96EBF">
        <w:rPr>
          <w:color w:val="000000" w:themeColor="text1"/>
          <w:lang w:val="en-GB"/>
        </w:rPr>
        <w:t xml:space="preserve">the </w:t>
      </w:r>
      <w:r w:rsidR="00924D75" w:rsidRPr="00F96EBF">
        <w:rPr>
          <w:color w:val="000000" w:themeColor="text1"/>
          <w:lang w:val="en-GB"/>
        </w:rPr>
        <w:t xml:space="preserve">unequal </w:t>
      </w:r>
      <w:r w:rsidRPr="00F96EBF">
        <w:rPr>
          <w:color w:val="000000" w:themeColor="text1"/>
          <w:lang w:val="en-GB"/>
        </w:rPr>
        <w:t>conditioning</w:t>
      </w:r>
      <w:r w:rsidR="00924D75" w:rsidRPr="00F96EBF">
        <w:rPr>
          <w:color w:val="000000" w:themeColor="text1"/>
          <w:lang w:val="en-GB"/>
        </w:rPr>
        <w:t xml:space="preserve"> for </w:t>
      </w:r>
      <w:r w:rsidR="007C0073" w:rsidRPr="00F96EBF">
        <w:rPr>
          <w:color w:val="000000" w:themeColor="text1"/>
          <w:lang w:val="en-GB"/>
        </w:rPr>
        <w:t xml:space="preserve">boys and girls </w:t>
      </w:r>
      <w:r w:rsidR="00924D75" w:rsidRPr="00F96EBF">
        <w:rPr>
          <w:color w:val="000000" w:themeColor="text1"/>
          <w:lang w:val="en-GB"/>
        </w:rPr>
        <w:t>in their schooling process (Martínez, 2017).</w:t>
      </w:r>
      <w:r w:rsidR="00C50FC8" w:rsidRPr="00F96EBF">
        <w:rPr>
          <w:color w:val="000000" w:themeColor="text1"/>
          <w:lang w:val="en-GB"/>
        </w:rPr>
        <w:t xml:space="preserve"> </w:t>
      </w:r>
      <w:proofErr w:type="spellStart"/>
      <w:r w:rsidR="005978E3" w:rsidRPr="00F96EBF">
        <w:rPr>
          <w:color w:val="000000" w:themeColor="text1"/>
          <w:lang w:val="en-GB"/>
        </w:rPr>
        <w:t>Tarabini</w:t>
      </w:r>
      <w:proofErr w:type="spellEnd"/>
      <w:r w:rsidR="005978E3" w:rsidRPr="00F96EBF">
        <w:rPr>
          <w:color w:val="000000" w:themeColor="text1"/>
          <w:lang w:val="en-GB"/>
        </w:rPr>
        <w:t xml:space="preserve"> (2019) and </w:t>
      </w:r>
      <w:proofErr w:type="spellStart"/>
      <w:r w:rsidR="00C50FC8" w:rsidRPr="00F96EBF">
        <w:rPr>
          <w:color w:val="000000" w:themeColor="text1"/>
          <w:lang w:val="en-GB"/>
        </w:rPr>
        <w:t>Tarabini</w:t>
      </w:r>
      <w:proofErr w:type="spellEnd"/>
      <w:r w:rsidR="00DF717A" w:rsidRPr="00F96EBF">
        <w:rPr>
          <w:color w:val="000000" w:themeColor="text1"/>
          <w:lang w:val="en-GB"/>
        </w:rPr>
        <w:t xml:space="preserve">, </w:t>
      </w:r>
      <w:proofErr w:type="spellStart"/>
      <w:r w:rsidR="00DF717A" w:rsidRPr="00F96EBF">
        <w:rPr>
          <w:color w:val="000000" w:themeColor="text1"/>
          <w:lang w:val="en-GB"/>
        </w:rPr>
        <w:t>Castejón</w:t>
      </w:r>
      <w:proofErr w:type="spellEnd"/>
      <w:r w:rsidR="00DF717A" w:rsidRPr="00F96EBF">
        <w:rPr>
          <w:color w:val="000000" w:themeColor="text1"/>
          <w:lang w:val="en-GB"/>
        </w:rPr>
        <w:t xml:space="preserve"> and Curran (2020) </w:t>
      </w:r>
      <w:r w:rsidR="002113EE" w:rsidRPr="00F96EBF">
        <w:rPr>
          <w:color w:val="000000" w:themeColor="text1"/>
          <w:lang w:val="en-GB"/>
        </w:rPr>
        <w:t xml:space="preserve">provided </w:t>
      </w:r>
      <w:r w:rsidR="00DF717A" w:rsidRPr="00F96EBF">
        <w:rPr>
          <w:color w:val="000000" w:themeColor="text1"/>
          <w:lang w:val="en-GB"/>
        </w:rPr>
        <w:t>evidence that teachers perceive</w:t>
      </w:r>
      <w:r w:rsidR="005978E3" w:rsidRPr="00F96EBF">
        <w:rPr>
          <w:color w:val="000000" w:themeColor="text1"/>
          <w:lang w:val="en-GB"/>
        </w:rPr>
        <w:t xml:space="preserve"> and treat </w:t>
      </w:r>
      <w:r w:rsidR="00DF717A" w:rsidRPr="00F96EBF">
        <w:rPr>
          <w:color w:val="000000" w:themeColor="text1"/>
          <w:lang w:val="en-GB"/>
        </w:rPr>
        <w:t>students</w:t>
      </w:r>
      <w:r w:rsidR="001269E4" w:rsidRPr="00F96EBF">
        <w:rPr>
          <w:color w:val="000000" w:themeColor="text1"/>
          <w:lang w:val="en-GB"/>
        </w:rPr>
        <w:t>’ personalit</w:t>
      </w:r>
      <w:r w:rsidR="002113EE" w:rsidRPr="00F96EBF">
        <w:rPr>
          <w:color w:val="000000" w:themeColor="text1"/>
          <w:lang w:val="en-GB"/>
        </w:rPr>
        <w:t>ies</w:t>
      </w:r>
      <w:r w:rsidR="001269E4" w:rsidRPr="00F96EBF">
        <w:rPr>
          <w:color w:val="000000" w:themeColor="text1"/>
          <w:lang w:val="en-GB"/>
        </w:rPr>
        <w:t>, skills and behaviour</w:t>
      </w:r>
      <w:r w:rsidR="00DF717A" w:rsidRPr="00F96EBF">
        <w:rPr>
          <w:color w:val="000000" w:themeColor="text1"/>
          <w:lang w:val="en-GB"/>
        </w:rPr>
        <w:t xml:space="preserve"> </w:t>
      </w:r>
      <w:r w:rsidR="002113EE" w:rsidRPr="00F96EBF">
        <w:rPr>
          <w:color w:val="000000" w:themeColor="text1"/>
          <w:lang w:val="en-GB"/>
        </w:rPr>
        <w:t xml:space="preserve">differently </w:t>
      </w:r>
      <w:r w:rsidR="00DF717A" w:rsidRPr="00F96EBF">
        <w:rPr>
          <w:color w:val="000000" w:themeColor="text1"/>
          <w:lang w:val="en-GB"/>
        </w:rPr>
        <w:t>depending on their gender</w:t>
      </w:r>
      <w:r w:rsidR="00CF2494" w:rsidRPr="00F96EBF">
        <w:rPr>
          <w:color w:val="000000" w:themeColor="text1"/>
          <w:lang w:val="en-GB"/>
        </w:rPr>
        <w:t xml:space="preserve">. </w:t>
      </w:r>
    </w:p>
    <w:p w14:paraId="70B0730A" w14:textId="77777777" w:rsidR="0044317E" w:rsidRPr="00F96EBF" w:rsidRDefault="0044317E" w:rsidP="0044317E">
      <w:pPr>
        <w:jc w:val="both"/>
        <w:rPr>
          <w:color w:val="000000" w:themeColor="text1"/>
          <w:lang w:val="en-GB"/>
        </w:rPr>
      </w:pPr>
    </w:p>
    <w:p w14:paraId="76C507D6" w14:textId="3620E9F9" w:rsidR="003F6618" w:rsidRPr="00F96EBF" w:rsidRDefault="00D84068" w:rsidP="0044317E">
      <w:pPr>
        <w:jc w:val="both"/>
        <w:rPr>
          <w:color w:val="000000" w:themeColor="text1"/>
          <w:lang w:val="en-GB"/>
        </w:rPr>
      </w:pPr>
      <w:proofErr w:type="spellStart"/>
      <w:r w:rsidRPr="00F96EBF">
        <w:rPr>
          <w:color w:val="000000" w:themeColor="text1"/>
          <w:lang w:val="en-GB"/>
        </w:rPr>
        <w:t>Blossfeld</w:t>
      </w:r>
      <w:proofErr w:type="spellEnd"/>
      <w:r w:rsidRPr="00F96EBF">
        <w:rPr>
          <w:color w:val="000000" w:themeColor="text1"/>
          <w:lang w:val="en-GB"/>
        </w:rPr>
        <w:t xml:space="preserve"> and Shavit (201</w:t>
      </w:r>
      <w:r w:rsidR="00705A83" w:rsidRPr="00F96EBF">
        <w:rPr>
          <w:color w:val="000000" w:themeColor="text1"/>
          <w:lang w:val="en-GB"/>
        </w:rPr>
        <w:t>5</w:t>
      </w:r>
      <w:r w:rsidRPr="00F96EBF">
        <w:rPr>
          <w:color w:val="000000" w:themeColor="text1"/>
          <w:lang w:val="en-GB"/>
        </w:rPr>
        <w:t xml:space="preserve">) </w:t>
      </w:r>
      <w:r w:rsidR="00FB5998" w:rsidRPr="00F96EBF">
        <w:rPr>
          <w:color w:val="000000" w:themeColor="text1"/>
          <w:lang w:val="en-GB"/>
        </w:rPr>
        <w:t xml:space="preserve">observed </w:t>
      </w:r>
      <w:r w:rsidR="001B0CF0" w:rsidRPr="00F96EBF">
        <w:rPr>
          <w:color w:val="000000" w:themeColor="text1"/>
          <w:lang w:val="en-GB"/>
        </w:rPr>
        <w:t>that inequalit</w:t>
      </w:r>
      <w:r w:rsidR="00BB78A5" w:rsidRPr="00F96EBF">
        <w:rPr>
          <w:color w:val="000000" w:themeColor="text1"/>
          <w:lang w:val="en-GB"/>
        </w:rPr>
        <w:t>y</w:t>
      </w:r>
      <w:r w:rsidR="001B0CF0" w:rsidRPr="00F96EBF">
        <w:rPr>
          <w:color w:val="000000" w:themeColor="text1"/>
          <w:lang w:val="en-GB"/>
        </w:rPr>
        <w:t xml:space="preserve"> between men and women </w:t>
      </w:r>
      <w:r w:rsidR="00E57C39" w:rsidRPr="00F96EBF">
        <w:rPr>
          <w:color w:val="000000" w:themeColor="text1"/>
          <w:lang w:val="en-GB"/>
        </w:rPr>
        <w:t xml:space="preserve">has </w:t>
      </w:r>
      <w:r w:rsidR="001B0CF0" w:rsidRPr="00F96EBF">
        <w:rPr>
          <w:color w:val="000000" w:themeColor="text1"/>
          <w:lang w:val="en-GB"/>
        </w:rPr>
        <w:t xml:space="preserve">reduced </w:t>
      </w:r>
      <w:r w:rsidR="00E57C39" w:rsidRPr="00F96EBF">
        <w:rPr>
          <w:color w:val="000000" w:themeColor="text1"/>
          <w:lang w:val="en-GB"/>
        </w:rPr>
        <w:t xml:space="preserve">considerably </w:t>
      </w:r>
      <w:r w:rsidR="001B0CF0" w:rsidRPr="00F96EBF">
        <w:rPr>
          <w:color w:val="000000" w:themeColor="text1"/>
          <w:lang w:val="en-GB"/>
        </w:rPr>
        <w:t>overall</w:t>
      </w:r>
      <w:r w:rsidR="00FB5998" w:rsidRPr="00F96EBF">
        <w:rPr>
          <w:color w:val="000000" w:themeColor="text1"/>
          <w:lang w:val="en-GB"/>
        </w:rPr>
        <w:t xml:space="preserve"> in </w:t>
      </w:r>
      <w:r w:rsidR="0044317E" w:rsidRPr="00674574">
        <w:rPr>
          <w:color w:val="000000" w:themeColor="text1"/>
          <w:lang w:val="en-GB"/>
        </w:rPr>
        <w:t>W</w:t>
      </w:r>
      <w:r w:rsidR="00051F3E" w:rsidRPr="00674574">
        <w:rPr>
          <w:color w:val="000000" w:themeColor="text1"/>
          <w:lang w:val="en-GB"/>
        </w:rPr>
        <w:t xml:space="preserve">estern countries in </w:t>
      </w:r>
      <w:r w:rsidR="00E57C39" w:rsidRPr="00674574">
        <w:rPr>
          <w:color w:val="000000" w:themeColor="text1"/>
          <w:lang w:val="en-GB"/>
        </w:rPr>
        <w:t>recent</w:t>
      </w:r>
      <w:r w:rsidR="00051F3E" w:rsidRPr="00674574">
        <w:rPr>
          <w:color w:val="000000" w:themeColor="text1"/>
          <w:lang w:val="en-GB"/>
        </w:rPr>
        <w:t xml:space="preserve"> decades</w:t>
      </w:r>
      <w:r w:rsidR="001B0CF0" w:rsidRPr="00674574">
        <w:rPr>
          <w:color w:val="000000" w:themeColor="text1"/>
          <w:lang w:val="en-GB"/>
        </w:rPr>
        <w:t xml:space="preserve">. Indeed, some countries </w:t>
      </w:r>
      <w:r w:rsidR="00BB78A5" w:rsidRPr="00674574">
        <w:rPr>
          <w:color w:val="000000" w:themeColor="text1"/>
          <w:lang w:val="en-GB"/>
        </w:rPr>
        <w:t xml:space="preserve">have </w:t>
      </w:r>
      <w:r w:rsidR="001B0CF0" w:rsidRPr="00674574">
        <w:rPr>
          <w:color w:val="000000" w:themeColor="text1"/>
          <w:lang w:val="en-GB"/>
        </w:rPr>
        <w:t xml:space="preserve">experienced </w:t>
      </w:r>
      <w:r w:rsidR="00BB78A5" w:rsidRPr="00674574">
        <w:rPr>
          <w:color w:val="000000" w:themeColor="text1"/>
          <w:lang w:val="en-GB"/>
        </w:rPr>
        <w:t xml:space="preserve">a </w:t>
      </w:r>
      <w:r w:rsidR="001B0CF0" w:rsidRPr="00674574">
        <w:rPr>
          <w:color w:val="000000" w:themeColor="text1"/>
          <w:lang w:val="en-GB"/>
        </w:rPr>
        <w:t>reversed gender gap</w:t>
      </w:r>
      <w:r w:rsidR="0073735D" w:rsidRPr="00674574">
        <w:rPr>
          <w:color w:val="000000" w:themeColor="text1"/>
          <w:lang w:val="en-GB"/>
        </w:rPr>
        <w:t xml:space="preserve">, </w:t>
      </w:r>
      <w:r w:rsidR="002C22D5" w:rsidRPr="00674574">
        <w:rPr>
          <w:color w:val="000000" w:themeColor="text1"/>
          <w:lang w:val="en-GB"/>
        </w:rPr>
        <w:t xml:space="preserve">with </w:t>
      </w:r>
      <w:r w:rsidR="00FE72A8" w:rsidRPr="00674574">
        <w:rPr>
          <w:color w:val="000000" w:themeColor="text1"/>
          <w:lang w:val="en-GB"/>
        </w:rPr>
        <w:t xml:space="preserve">girls </w:t>
      </w:r>
      <w:r w:rsidR="0073735D" w:rsidRPr="00674574">
        <w:rPr>
          <w:color w:val="000000" w:themeColor="text1"/>
          <w:lang w:val="en-GB"/>
        </w:rPr>
        <w:t xml:space="preserve">being less prone to suffer from school failure and </w:t>
      </w:r>
      <w:r w:rsidR="00BE46F9" w:rsidRPr="00674574">
        <w:rPr>
          <w:color w:val="000000" w:themeColor="text1"/>
          <w:lang w:val="en-GB"/>
        </w:rPr>
        <w:t xml:space="preserve">early school leaving </w:t>
      </w:r>
      <w:r w:rsidR="002C22D5" w:rsidRPr="00674574">
        <w:rPr>
          <w:color w:val="000000" w:themeColor="text1"/>
          <w:lang w:val="en-GB"/>
        </w:rPr>
        <w:t>and</w:t>
      </w:r>
      <w:r w:rsidR="0073735D" w:rsidRPr="00674574">
        <w:rPr>
          <w:color w:val="000000" w:themeColor="text1"/>
          <w:lang w:val="en-GB"/>
        </w:rPr>
        <w:t xml:space="preserve"> registering better educational results</w:t>
      </w:r>
      <w:r w:rsidR="00FA060D" w:rsidRPr="00674574">
        <w:rPr>
          <w:color w:val="000000" w:themeColor="text1"/>
          <w:lang w:val="en-GB"/>
        </w:rPr>
        <w:t xml:space="preserve"> (</w:t>
      </w:r>
      <w:r w:rsidR="0002634B" w:rsidRPr="00674574">
        <w:rPr>
          <w:color w:val="000000" w:themeColor="text1"/>
          <w:lang w:val="en-GB"/>
        </w:rPr>
        <w:t xml:space="preserve">Borgna &amp; </w:t>
      </w:r>
      <w:proofErr w:type="spellStart"/>
      <w:r w:rsidR="0002634B" w:rsidRPr="00674574">
        <w:rPr>
          <w:color w:val="000000" w:themeColor="text1"/>
          <w:lang w:val="en-GB"/>
        </w:rPr>
        <w:t>Struffolino</w:t>
      </w:r>
      <w:proofErr w:type="spellEnd"/>
      <w:r w:rsidR="0002634B" w:rsidRPr="00674574">
        <w:rPr>
          <w:color w:val="000000" w:themeColor="text1"/>
          <w:lang w:val="en-GB"/>
        </w:rPr>
        <w:t xml:space="preserve">, 2017; </w:t>
      </w:r>
      <w:r w:rsidR="00FA060D" w:rsidRPr="00674574">
        <w:rPr>
          <w:color w:val="000000" w:themeColor="text1"/>
          <w:lang w:val="en-GB"/>
        </w:rPr>
        <w:t>Buchmann, DiPrete, &amp; McDaniel, 2008)</w:t>
      </w:r>
      <w:r w:rsidR="001B0CF0" w:rsidRPr="00674574">
        <w:rPr>
          <w:color w:val="000000" w:themeColor="text1"/>
          <w:lang w:val="en-GB"/>
        </w:rPr>
        <w:t xml:space="preserve">. </w:t>
      </w:r>
      <w:r w:rsidR="001A167C" w:rsidRPr="00674574">
        <w:rPr>
          <w:color w:val="000000" w:themeColor="text1"/>
          <w:lang w:val="en-GB"/>
        </w:rPr>
        <w:t>Despite</w:t>
      </w:r>
      <w:r w:rsidR="002C22D5" w:rsidRPr="00674574">
        <w:rPr>
          <w:color w:val="000000" w:themeColor="text1"/>
          <w:lang w:val="en-GB"/>
        </w:rPr>
        <w:t xml:space="preserve"> the notable improvement in</w:t>
      </w:r>
      <w:r w:rsidR="001A167C" w:rsidRPr="00674574">
        <w:rPr>
          <w:color w:val="000000" w:themeColor="text1"/>
          <w:lang w:val="en-GB"/>
        </w:rPr>
        <w:t xml:space="preserve"> </w:t>
      </w:r>
      <w:r w:rsidR="003F6618" w:rsidRPr="00674574">
        <w:rPr>
          <w:color w:val="000000" w:themeColor="text1"/>
          <w:lang w:val="en-GB"/>
        </w:rPr>
        <w:t xml:space="preserve">women’s educational </w:t>
      </w:r>
      <w:r w:rsidR="0044317E" w:rsidRPr="00674574">
        <w:rPr>
          <w:color w:val="000000" w:themeColor="text1"/>
          <w:lang w:val="en-GB"/>
        </w:rPr>
        <w:t>results</w:t>
      </w:r>
      <w:r w:rsidR="003F6618" w:rsidRPr="00674574">
        <w:rPr>
          <w:color w:val="000000" w:themeColor="text1"/>
          <w:lang w:val="en-GB"/>
        </w:rPr>
        <w:t xml:space="preserve">, the consequences of </w:t>
      </w:r>
      <w:r w:rsidR="00BE46F9" w:rsidRPr="00674574">
        <w:rPr>
          <w:color w:val="000000" w:themeColor="text1"/>
          <w:lang w:val="en-GB"/>
        </w:rPr>
        <w:t xml:space="preserve">early school leaving </w:t>
      </w:r>
      <w:r w:rsidR="003F6618" w:rsidRPr="00674574">
        <w:rPr>
          <w:color w:val="000000" w:themeColor="text1"/>
          <w:lang w:val="en-GB"/>
        </w:rPr>
        <w:t xml:space="preserve">and the influence of the labour market still </w:t>
      </w:r>
      <w:proofErr w:type="gramStart"/>
      <w:r w:rsidR="00BB78A5" w:rsidRPr="00674574">
        <w:rPr>
          <w:color w:val="000000" w:themeColor="text1"/>
          <w:lang w:val="en-GB"/>
        </w:rPr>
        <w:t>lead</w:t>
      </w:r>
      <w:proofErr w:type="gramEnd"/>
      <w:r w:rsidR="00BB78A5" w:rsidRPr="00674574">
        <w:rPr>
          <w:color w:val="000000" w:themeColor="text1"/>
          <w:lang w:val="en-GB"/>
        </w:rPr>
        <w:t xml:space="preserve"> to </w:t>
      </w:r>
      <w:r w:rsidR="00BB78A5" w:rsidRPr="00F96EBF">
        <w:rPr>
          <w:color w:val="000000" w:themeColor="text1"/>
          <w:lang w:val="en-GB"/>
        </w:rPr>
        <w:t>i</w:t>
      </w:r>
      <w:r w:rsidR="003F6618" w:rsidRPr="00F96EBF">
        <w:rPr>
          <w:color w:val="000000" w:themeColor="text1"/>
          <w:lang w:val="en-GB"/>
        </w:rPr>
        <w:t>nequal</w:t>
      </w:r>
      <w:r w:rsidR="00BB78A5" w:rsidRPr="00F96EBF">
        <w:rPr>
          <w:color w:val="000000" w:themeColor="text1"/>
          <w:lang w:val="en-GB"/>
        </w:rPr>
        <w:t>ity</w:t>
      </w:r>
      <w:r w:rsidR="003F6618" w:rsidRPr="00F96EBF">
        <w:rPr>
          <w:color w:val="000000" w:themeColor="text1"/>
          <w:lang w:val="en-GB"/>
        </w:rPr>
        <w:t xml:space="preserve"> between</w:t>
      </w:r>
      <w:r w:rsidR="00836E8E" w:rsidRPr="00F96EBF">
        <w:rPr>
          <w:color w:val="000000" w:themeColor="text1"/>
          <w:lang w:val="en-GB"/>
        </w:rPr>
        <w:t xml:space="preserve"> the</w:t>
      </w:r>
      <w:r w:rsidR="003F6618" w:rsidRPr="00F96EBF">
        <w:rPr>
          <w:color w:val="000000" w:themeColor="text1"/>
          <w:lang w:val="en-GB"/>
        </w:rPr>
        <w:t xml:space="preserve"> genders (</w:t>
      </w:r>
      <w:proofErr w:type="spellStart"/>
      <w:r w:rsidR="003F6618" w:rsidRPr="00F96EBF">
        <w:rPr>
          <w:color w:val="000000" w:themeColor="text1"/>
          <w:lang w:val="en-GB"/>
        </w:rPr>
        <w:t>Struffolino</w:t>
      </w:r>
      <w:proofErr w:type="spellEnd"/>
      <w:r w:rsidR="001A5C01" w:rsidRPr="00F96EBF">
        <w:rPr>
          <w:color w:val="000000" w:themeColor="text1"/>
          <w:lang w:val="en-GB"/>
        </w:rPr>
        <w:t xml:space="preserve"> &amp; Borgna</w:t>
      </w:r>
      <w:r w:rsidR="00813E8F">
        <w:rPr>
          <w:color w:val="000000" w:themeColor="text1"/>
          <w:lang w:val="en-GB"/>
        </w:rPr>
        <w:t>, 2021</w:t>
      </w:r>
      <w:r w:rsidR="003F6618" w:rsidRPr="00F96EBF">
        <w:rPr>
          <w:color w:val="000000" w:themeColor="text1"/>
          <w:lang w:val="en-GB"/>
        </w:rPr>
        <w:t xml:space="preserve">). </w:t>
      </w:r>
    </w:p>
    <w:p w14:paraId="28010915" w14:textId="606BC6EB" w:rsidR="00D84068" w:rsidRPr="00F96EBF" w:rsidRDefault="00D84068" w:rsidP="006D08A5">
      <w:pPr>
        <w:rPr>
          <w:color w:val="000000" w:themeColor="text1"/>
          <w:lang w:val="en-GB"/>
        </w:rPr>
      </w:pPr>
    </w:p>
    <w:p w14:paraId="1CF5BF03" w14:textId="78FA7DD5" w:rsidR="00E614F3" w:rsidRDefault="00BA4076" w:rsidP="00CE1446">
      <w:pPr>
        <w:jc w:val="both"/>
        <w:rPr>
          <w:color w:val="000000" w:themeColor="text1"/>
          <w:lang w:val="en-GB"/>
        </w:rPr>
      </w:pPr>
      <w:r w:rsidRPr="0009261F">
        <w:rPr>
          <w:color w:val="000000" w:themeColor="text1"/>
          <w:lang w:val="en-GB"/>
        </w:rPr>
        <w:t xml:space="preserve">The </w:t>
      </w:r>
      <w:r w:rsidR="00FC78FA" w:rsidRPr="0009261F">
        <w:rPr>
          <w:color w:val="000000" w:themeColor="text1"/>
          <w:lang w:val="en-GB"/>
        </w:rPr>
        <w:t>region</w:t>
      </w:r>
      <w:r w:rsidRPr="0009261F">
        <w:rPr>
          <w:color w:val="000000" w:themeColor="text1"/>
          <w:lang w:val="en-GB"/>
        </w:rPr>
        <w:t>al</w:t>
      </w:r>
      <w:r w:rsidR="00FC78FA" w:rsidRPr="0009261F">
        <w:rPr>
          <w:color w:val="000000" w:themeColor="text1"/>
          <w:lang w:val="en-GB"/>
        </w:rPr>
        <w:t xml:space="preserve"> dimension has received</w:t>
      </w:r>
      <w:r w:rsidR="00A867A2" w:rsidRPr="00F96EBF">
        <w:rPr>
          <w:color w:val="000000" w:themeColor="text1"/>
          <w:lang w:val="en-GB"/>
        </w:rPr>
        <w:t xml:space="preserve"> less attention </w:t>
      </w:r>
      <w:r w:rsidRPr="00F96EBF">
        <w:rPr>
          <w:color w:val="000000" w:themeColor="text1"/>
          <w:lang w:val="en-GB"/>
        </w:rPr>
        <w:t xml:space="preserve">than gender </w:t>
      </w:r>
      <w:r w:rsidR="00A867A2" w:rsidRPr="00F96EBF">
        <w:rPr>
          <w:color w:val="000000" w:themeColor="text1"/>
          <w:lang w:val="en-GB"/>
        </w:rPr>
        <w:t xml:space="preserve">in the literature, although several </w:t>
      </w:r>
      <w:r w:rsidRPr="00F96EBF">
        <w:rPr>
          <w:color w:val="000000" w:themeColor="text1"/>
          <w:lang w:val="en-GB"/>
        </w:rPr>
        <w:t xml:space="preserve">recent </w:t>
      </w:r>
      <w:r w:rsidR="00A867A2" w:rsidRPr="00F96EBF">
        <w:rPr>
          <w:color w:val="000000" w:themeColor="text1"/>
          <w:lang w:val="en-GB"/>
        </w:rPr>
        <w:t xml:space="preserve">studies </w:t>
      </w:r>
      <w:r w:rsidRPr="00F96EBF">
        <w:rPr>
          <w:color w:val="000000" w:themeColor="text1"/>
          <w:lang w:val="en-GB"/>
        </w:rPr>
        <w:t xml:space="preserve">have discussed it </w:t>
      </w:r>
      <w:r w:rsidR="00A867A2" w:rsidRPr="00F96EBF">
        <w:rPr>
          <w:color w:val="000000" w:themeColor="text1"/>
          <w:lang w:val="en-GB"/>
        </w:rPr>
        <w:t>(</w:t>
      </w:r>
      <w:r w:rsidR="00C94684" w:rsidRPr="00F96EBF">
        <w:rPr>
          <w:color w:val="000000" w:themeColor="text1"/>
          <w:lang w:val="en-GB"/>
        </w:rPr>
        <w:t>González-Betancor &amp; López-Puig, 2020</w:t>
      </w:r>
      <w:r w:rsidR="00A867A2" w:rsidRPr="00F96EBF">
        <w:rPr>
          <w:color w:val="000000" w:themeColor="text1"/>
          <w:lang w:val="en-GB"/>
        </w:rPr>
        <w:t xml:space="preserve">). </w:t>
      </w:r>
      <w:proofErr w:type="spellStart"/>
      <w:r w:rsidR="00EE2DF2" w:rsidRPr="00F96EBF">
        <w:rPr>
          <w:color w:val="000000" w:themeColor="text1"/>
          <w:lang w:val="en-GB"/>
        </w:rPr>
        <w:t>Carabaña</w:t>
      </w:r>
      <w:proofErr w:type="spellEnd"/>
      <w:r w:rsidR="00EE2DF2" w:rsidRPr="00F96EBF">
        <w:rPr>
          <w:color w:val="000000" w:themeColor="text1"/>
          <w:lang w:val="en-GB"/>
        </w:rPr>
        <w:t xml:space="preserve"> (2008) point</w:t>
      </w:r>
      <w:r w:rsidRPr="00F96EBF">
        <w:rPr>
          <w:color w:val="000000" w:themeColor="text1"/>
          <w:lang w:val="en-GB"/>
        </w:rPr>
        <w:t>ed</w:t>
      </w:r>
      <w:r w:rsidR="00EE2DF2" w:rsidRPr="00F96EBF">
        <w:rPr>
          <w:color w:val="000000" w:themeColor="text1"/>
          <w:lang w:val="en-GB"/>
        </w:rPr>
        <w:t xml:space="preserve"> out that region is a much more appropriate unit </w:t>
      </w:r>
      <w:r w:rsidRPr="00F96EBF">
        <w:rPr>
          <w:color w:val="000000" w:themeColor="text1"/>
          <w:lang w:val="en-GB"/>
        </w:rPr>
        <w:t>by which to analyse educational outcomes</w:t>
      </w:r>
      <w:r w:rsidR="00AE1840" w:rsidRPr="00F96EBF">
        <w:rPr>
          <w:color w:val="000000" w:themeColor="text1"/>
          <w:lang w:val="en-GB"/>
        </w:rPr>
        <w:t>, because</w:t>
      </w:r>
      <w:r w:rsidR="00EE2DF2" w:rsidRPr="00F96EBF">
        <w:rPr>
          <w:color w:val="000000" w:themeColor="text1"/>
          <w:lang w:val="en-GB"/>
        </w:rPr>
        <w:t xml:space="preserve"> at this level there are substantial differences that </w:t>
      </w:r>
      <w:r w:rsidR="00AE1840" w:rsidRPr="00F96EBF">
        <w:rPr>
          <w:color w:val="000000" w:themeColor="text1"/>
          <w:lang w:val="en-GB"/>
        </w:rPr>
        <w:t>cannot</w:t>
      </w:r>
      <w:r w:rsidR="00EE2DF2" w:rsidRPr="00F96EBF">
        <w:rPr>
          <w:color w:val="000000" w:themeColor="text1"/>
          <w:lang w:val="en-GB"/>
        </w:rPr>
        <w:t xml:space="preserve"> </w:t>
      </w:r>
      <w:r w:rsidR="0080439A" w:rsidRPr="00F96EBF">
        <w:rPr>
          <w:color w:val="000000" w:themeColor="text1"/>
          <w:lang w:val="en-GB"/>
        </w:rPr>
        <w:t xml:space="preserve">generally </w:t>
      </w:r>
      <w:r w:rsidR="00AE1840" w:rsidRPr="00F96EBF">
        <w:rPr>
          <w:color w:val="000000" w:themeColor="text1"/>
          <w:lang w:val="en-GB"/>
        </w:rPr>
        <w:t xml:space="preserve">be </w:t>
      </w:r>
      <w:r w:rsidR="00EE2DF2" w:rsidRPr="00F96EBF">
        <w:rPr>
          <w:color w:val="000000" w:themeColor="text1"/>
          <w:lang w:val="en-GB"/>
        </w:rPr>
        <w:t xml:space="preserve">observed </w:t>
      </w:r>
      <w:r w:rsidR="00EE2DF2" w:rsidRPr="00674574">
        <w:rPr>
          <w:color w:val="000000" w:themeColor="text1"/>
          <w:lang w:val="en-GB"/>
        </w:rPr>
        <w:t xml:space="preserve">at </w:t>
      </w:r>
      <w:r w:rsidR="0009261F" w:rsidRPr="00674574">
        <w:rPr>
          <w:color w:val="000000" w:themeColor="text1"/>
          <w:lang w:val="en-GB"/>
        </w:rPr>
        <w:t xml:space="preserve">the </w:t>
      </w:r>
      <w:r w:rsidR="00EE2DF2" w:rsidRPr="00674574">
        <w:rPr>
          <w:color w:val="000000" w:themeColor="text1"/>
          <w:lang w:val="en-GB"/>
        </w:rPr>
        <w:t xml:space="preserve">country level. </w:t>
      </w:r>
      <w:r w:rsidR="00CB4E47" w:rsidRPr="00674574">
        <w:rPr>
          <w:color w:val="000000" w:themeColor="text1"/>
          <w:lang w:val="en-GB"/>
        </w:rPr>
        <w:t xml:space="preserve">De Witte and Van </w:t>
      </w:r>
      <w:proofErr w:type="spellStart"/>
      <w:r w:rsidR="00CB4E47" w:rsidRPr="00674574">
        <w:rPr>
          <w:color w:val="000000" w:themeColor="text1"/>
          <w:lang w:val="en-GB"/>
        </w:rPr>
        <w:t>Klaveren</w:t>
      </w:r>
      <w:proofErr w:type="spellEnd"/>
      <w:r w:rsidR="00CB4E47" w:rsidRPr="00674574">
        <w:rPr>
          <w:color w:val="000000" w:themeColor="text1"/>
          <w:lang w:val="en-GB"/>
        </w:rPr>
        <w:t xml:space="preserve"> (2012) highlight</w:t>
      </w:r>
      <w:r w:rsidR="004C3016" w:rsidRPr="00674574">
        <w:rPr>
          <w:color w:val="000000" w:themeColor="text1"/>
          <w:lang w:val="en-GB"/>
        </w:rPr>
        <w:t>ed</w:t>
      </w:r>
      <w:r w:rsidR="00CB4E47" w:rsidRPr="00674574">
        <w:rPr>
          <w:color w:val="000000" w:themeColor="text1"/>
          <w:lang w:val="en-GB"/>
        </w:rPr>
        <w:t xml:space="preserve"> the importance of assessing regional discretion</w:t>
      </w:r>
      <w:r w:rsidR="00415274" w:rsidRPr="00674574">
        <w:rPr>
          <w:color w:val="000000" w:themeColor="text1"/>
          <w:lang w:val="en-GB"/>
        </w:rPr>
        <w:t xml:space="preserve"> </w:t>
      </w:r>
      <w:r w:rsidR="00CB4E47" w:rsidRPr="00674574">
        <w:rPr>
          <w:color w:val="000000" w:themeColor="text1"/>
          <w:lang w:val="en-GB"/>
        </w:rPr>
        <w:t xml:space="preserve">when </w:t>
      </w:r>
      <w:r w:rsidR="00466088" w:rsidRPr="00674574">
        <w:rPr>
          <w:color w:val="000000" w:themeColor="text1"/>
          <w:lang w:val="en-GB"/>
        </w:rPr>
        <w:t>implementing</w:t>
      </w:r>
      <w:r w:rsidR="00CB4E47" w:rsidRPr="00674574">
        <w:rPr>
          <w:color w:val="000000" w:themeColor="text1"/>
          <w:lang w:val="en-GB"/>
        </w:rPr>
        <w:t xml:space="preserve"> education polic</w:t>
      </w:r>
      <w:r w:rsidR="00466088" w:rsidRPr="00674574">
        <w:rPr>
          <w:color w:val="000000" w:themeColor="text1"/>
          <w:lang w:val="en-GB"/>
        </w:rPr>
        <w:t>ies</w:t>
      </w:r>
      <w:r w:rsidR="00CB4E47" w:rsidRPr="00674574">
        <w:rPr>
          <w:color w:val="000000" w:themeColor="text1"/>
          <w:lang w:val="en-GB"/>
        </w:rPr>
        <w:t>, esp</w:t>
      </w:r>
      <w:r w:rsidR="00CB4E47" w:rsidRPr="00F96EBF">
        <w:rPr>
          <w:color w:val="000000" w:themeColor="text1"/>
          <w:lang w:val="en-GB"/>
        </w:rPr>
        <w:t>ecially in decentralised countries.</w:t>
      </w:r>
      <w:r w:rsidR="00203226" w:rsidRPr="00F96EBF">
        <w:rPr>
          <w:color w:val="000000" w:themeColor="text1"/>
          <w:lang w:val="en-GB"/>
        </w:rPr>
        <w:t xml:space="preserve"> Bayón-</w:t>
      </w:r>
      <w:r w:rsidR="00203226" w:rsidRPr="004974AC">
        <w:rPr>
          <w:color w:val="000000" w:themeColor="text1"/>
          <w:lang w:val="en-GB"/>
        </w:rPr>
        <w:t>Calvo et al</w:t>
      </w:r>
      <w:r w:rsidR="0009261F" w:rsidRPr="004974AC">
        <w:rPr>
          <w:color w:val="000000" w:themeColor="text1"/>
          <w:lang w:val="en-GB"/>
        </w:rPr>
        <w:t>.</w:t>
      </w:r>
      <w:r w:rsidR="00203226" w:rsidRPr="004974AC">
        <w:rPr>
          <w:color w:val="000000" w:themeColor="text1"/>
          <w:lang w:val="en-GB"/>
        </w:rPr>
        <w:t>, (</w:t>
      </w:r>
      <w:r w:rsidR="00203226" w:rsidRPr="00F96EBF">
        <w:rPr>
          <w:color w:val="000000" w:themeColor="text1"/>
          <w:lang w:val="en-GB"/>
        </w:rPr>
        <w:t>2020)</w:t>
      </w:r>
      <w:r w:rsidR="00203226" w:rsidRPr="00466088">
        <w:rPr>
          <w:color w:val="0432FF"/>
          <w:lang w:val="en-GB"/>
        </w:rPr>
        <w:t xml:space="preserve"> </w:t>
      </w:r>
      <w:r w:rsidR="00466088" w:rsidRPr="004974AC">
        <w:rPr>
          <w:color w:val="000000" w:themeColor="text1"/>
          <w:lang w:val="en-GB"/>
        </w:rPr>
        <w:t>demonstrated</w:t>
      </w:r>
      <w:r w:rsidR="00203226" w:rsidRPr="004974AC">
        <w:rPr>
          <w:color w:val="000000" w:themeColor="text1"/>
          <w:lang w:val="en-GB"/>
        </w:rPr>
        <w:t xml:space="preserve"> that regional inequalities in </w:t>
      </w:r>
      <w:r w:rsidR="00BE46F9" w:rsidRPr="004974AC">
        <w:rPr>
          <w:color w:val="000000" w:themeColor="text1"/>
          <w:lang w:val="en-GB"/>
        </w:rPr>
        <w:t xml:space="preserve">early school leaving </w:t>
      </w:r>
      <w:r w:rsidR="00203226" w:rsidRPr="004974AC">
        <w:rPr>
          <w:color w:val="000000" w:themeColor="text1"/>
          <w:lang w:val="en-GB"/>
        </w:rPr>
        <w:t xml:space="preserve">could be attributed to both </w:t>
      </w:r>
      <w:r w:rsidR="00466088" w:rsidRPr="004974AC">
        <w:rPr>
          <w:color w:val="000000" w:themeColor="text1"/>
          <w:lang w:val="en-GB"/>
        </w:rPr>
        <w:t xml:space="preserve">the </w:t>
      </w:r>
      <w:r w:rsidR="00203226" w:rsidRPr="004974AC">
        <w:rPr>
          <w:color w:val="000000" w:themeColor="text1"/>
          <w:lang w:val="en-GB"/>
        </w:rPr>
        <w:t xml:space="preserve">socioeconomic </w:t>
      </w:r>
      <w:r w:rsidR="00466088" w:rsidRPr="004974AC">
        <w:rPr>
          <w:color w:val="000000" w:themeColor="text1"/>
          <w:lang w:val="en-GB"/>
        </w:rPr>
        <w:t xml:space="preserve">composition of the </w:t>
      </w:r>
      <w:r w:rsidR="00203226" w:rsidRPr="004974AC">
        <w:rPr>
          <w:color w:val="000000" w:themeColor="text1"/>
          <w:lang w:val="en-GB"/>
        </w:rPr>
        <w:t>population and institutional factors</w:t>
      </w:r>
      <w:r w:rsidR="00C3743D" w:rsidRPr="004974AC">
        <w:rPr>
          <w:color w:val="000000" w:themeColor="text1"/>
          <w:lang w:val="en-GB"/>
        </w:rPr>
        <w:t>,</w:t>
      </w:r>
      <w:r w:rsidR="00203226" w:rsidRPr="004974AC">
        <w:rPr>
          <w:color w:val="000000" w:themeColor="text1"/>
          <w:lang w:val="en-GB"/>
        </w:rPr>
        <w:t xml:space="preserve"> such as expenditure</w:t>
      </w:r>
      <w:r w:rsidR="00466088" w:rsidRPr="004974AC">
        <w:rPr>
          <w:color w:val="000000" w:themeColor="text1"/>
          <w:lang w:val="en-GB"/>
        </w:rPr>
        <w:t>s</w:t>
      </w:r>
      <w:r w:rsidR="00203226" w:rsidRPr="004974AC">
        <w:rPr>
          <w:color w:val="000000" w:themeColor="text1"/>
          <w:lang w:val="en-GB"/>
        </w:rPr>
        <w:t xml:space="preserve"> </w:t>
      </w:r>
      <w:r w:rsidR="00466088" w:rsidRPr="004974AC">
        <w:rPr>
          <w:color w:val="000000" w:themeColor="text1"/>
          <w:lang w:val="en-GB"/>
        </w:rPr>
        <w:t xml:space="preserve">on education </w:t>
      </w:r>
      <w:r w:rsidR="00203226" w:rsidRPr="004974AC">
        <w:rPr>
          <w:color w:val="000000" w:themeColor="text1"/>
          <w:lang w:val="en-GB"/>
        </w:rPr>
        <w:t xml:space="preserve">or </w:t>
      </w:r>
      <w:r w:rsidR="00466088" w:rsidRPr="004974AC">
        <w:rPr>
          <w:color w:val="000000" w:themeColor="text1"/>
          <w:lang w:val="en-GB"/>
        </w:rPr>
        <w:t xml:space="preserve">the implementation of </w:t>
      </w:r>
      <w:r w:rsidR="00203226" w:rsidRPr="004974AC">
        <w:rPr>
          <w:color w:val="000000" w:themeColor="text1"/>
          <w:lang w:val="en-GB"/>
        </w:rPr>
        <w:t>educatio</w:t>
      </w:r>
      <w:r w:rsidR="00466088" w:rsidRPr="004974AC">
        <w:rPr>
          <w:color w:val="000000" w:themeColor="text1"/>
          <w:lang w:val="en-GB"/>
        </w:rPr>
        <w:t>n</w:t>
      </w:r>
      <w:r w:rsidR="00203226" w:rsidRPr="004974AC">
        <w:rPr>
          <w:color w:val="000000" w:themeColor="text1"/>
          <w:lang w:val="en-GB"/>
        </w:rPr>
        <w:t xml:space="preserve"> polic</w:t>
      </w:r>
      <w:r w:rsidR="00466088" w:rsidRPr="004974AC">
        <w:rPr>
          <w:color w:val="000000" w:themeColor="text1"/>
          <w:lang w:val="en-GB"/>
        </w:rPr>
        <w:t>ies</w:t>
      </w:r>
      <w:r w:rsidR="00203226" w:rsidRPr="00F96EBF">
        <w:rPr>
          <w:color w:val="000000" w:themeColor="text1"/>
          <w:lang w:val="en-GB"/>
        </w:rPr>
        <w:t>.</w:t>
      </w:r>
      <w:r w:rsidR="00CB4E47" w:rsidRPr="00F96EBF">
        <w:rPr>
          <w:color w:val="000000" w:themeColor="text1"/>
          <w:lang w:val="en-GB"/>
        </w:rPr>
        <w:t xml:space="preserve"> </w:t>
      </w:r>
      <w:r w:rsidR="00367DBF" w:rsidRPr="00F96EBF">
        <w:rPr>
          <w:color w:val="000000" w:themeColor="text1"/>
          <w:lang w:val="en-GB"/>
        </w:rPr>
        <w:t xml:space="preserve">Several policy documents also </w:t>
      </w:r>
      <w:r w:rsidR="00367DBF" w:rsidRPr="004974AC">
        <w:rPr>
          <w:color w:val="000000" w:themeColor="text1"/>
          <w:lang w:val="en-GB"/>
        </w:rPr>
        <w:t xml:space="preserve">acknowledge the importance of adopting a regional focus </w:t>
      </w:r>
      <w:proofErr w:type="gramStart"/>
      <w:r w:rsidR="00367DBF" w:rsidRPr="004974AC">
        <w:rPr>
          <w:color w:val="000000" w:themeColor="text1"/>
          <w:lang w:val="en-GB"/>
        </w:rPr>
        <w:t>in order to</w:t>
      </w:r>
      <w:proofErr w:type="gramEnd"/>
      <w:r w:rsidR="00367DBF" w:rsidRPr="004974AC">
        <w:rPr>
          <w:color w:val="000000" w:themeColor="text1"/>
          <w:lang w:val="en-GB"/>
        </w:rPr>
        <w:t xml:space="preserve"> reduce regional disparities </w:t>
      </w:r>
      <w:r w:rsidR="00CE1446" w:rsidRPr="004974AC">
        <w:rPr>
          <w:color w:val="000000" w:themeColor="text1"/>
          <w:lang w:val="en-GB"/>
        </w:rPr>
        <w:t xml:space="preserve">for outcomes </w:t>
      </w:r>
      <w:r w:rsidR="00367DBF" w:rsidRPr="004974AC">
        <w:rPr>
          <w:color w:val="000000" w:themeColor="text1"/>
          <w:lang w:val="en-GB"/>
        </w:rPr>
        <w:t xml:space="preserve">in education. </w:t>
      </w:r>
      <w:r w:rsidR="00B12BFD" w:rsidRPr="004974AC">
        <w:rPr>
          <w:color w:val="000000" w:themeColor="text1"/>
          <w:lang w:val="en-GB"/>
        </w:rPr>
        <w:t>For example</w:t>
      </w:r>
      <w:r w:rsidR="00367DBF" w:rsidRPr="004974AC">
        <w:rPr>
          <w:color w:val="000000" w:themeColor="text1"/>
          <w:lang w:val="en-GB"/>
        </w:rPr>
        <w:t xml:space="preserve">, the Paris Declaration urges to </w:t>
      </w:r>
      <w:r w:rsidR="00B12BFD" w:rsidRPr="004974AC">
        <w:rPr>
          <w:color w:val="000000" w:themeColor="text1"/>
          <w:lang w:val="en-GB"/>
        </w:rPr>
        <w:t>fight against</w:t>
      </w:r>
      <w:r w:rsidR="00367DBF" w:rsidRPr="004974AC">
        <w:rPr>
          <w:color w:val="000000" w:themeColor="text1"/>
          <w:lang w:val="en-GB"/>
        </w:rPr>
        <w:t xml:space="preserve"> geographical inequalities in education (</w:t>
      </w:r>
      <w:r w:rsidR="001D02E1" w:rsidRPr="004974AC">
        <w:rPr>
          <w:iCs/>
          <w:color w:val="000000" w:themeColor="text1"/>
          <w:lang w:val="en-GB"/>
        </w:rPr>
        <w:t>European Council of Education</w:t>
      </w:r>
      <w:r w:rsidR="00367DBF" w:rsidRPr="004974AC">
        <w:rPr>
          <w:color w:val="000000" w:themeColor="text1"/>
          <w:lang w:val="en-GB"/>
        </w:rPr>
        <w:t xml:space="preserve">, 2015), whereas the European </w:t>
      </w:r>
      <w:r w:rsidR="00367DBF" w:rsidRPr="00F96EBF">
        <w:rPr>
          <w:color w:val="000000" w:themeColor="text1"/>
          <w:lang w:val="en-GB"/>
        </w:rPr>
        <w:t xml:space="preserve">Commission </w:t>
      </w:r>
      <w:r w:rsidR="00B12BFD" w:rsidRPr="00F96EBF">
        <w:rPr>
          <w:color w:val="000000" w:themeColor="text1"/>
          <w:lang w:val="en-GB"/>
        </w:rPr>
        <w:t xml:space="preserve">has called for the </w:t>
      </w:r>
      <w:r w:rsidR="00367DBF" w:rsidRPr="00F96EBF">
        <w:rPr>
          <w:color w:val="000000" w:themeColor="text1"/>
          <w:lang w:val="en-GB"/>
        </w:rPr>
        <w:t>foster</w:t>
      </w:r>
      <w:r w:rsidR="00B12BFD" w:rsidRPr="00F96EBF">
        <w:rPr>
          <w:color w:val="000000" w:themeColor="text1"/>
          <w:lang w:val="en-GB"/>
        </w:rPr>
        <w:t>ing of</w:t>
      </w:r>
      <w:r w:rsidR="00B567D2" w:rsidRPr="00F96EBF">
        <w:rPr>
          <w:color w:val="000000" w:themeColor="text1"/>
          <w:lang w:val="en-GB"/>
        </w:rPr>
        <w:t xml:space="preserve"> coordination, cooperation and adaptation between regional and other levels of govern</w:t>
      </w:r>
      <w:r w:rsidR="00B12BFD" w:rsidRPr="00F96EBF">
        <w:rPr>
          <w:color w:val="000000" w:themeColor="text1"/>
          <w:lang w:val="en-GB"/>
        </w:rPr>
        <w:t>ment</w:t>
      </w:r>
      <w:r w:rsidR="00B567D2" w:rsidRPr="00F96EBF">
        <w:rPr>
          <w:color w:val="000000" w:themeColor="text1"/>
          <w:lang w:val="en-GB"/>
        </w:rPr>
        <w:t xml:space="preserve"> in their</w:t>
      </w:r>
      <w:r w:rsidR="00367DBF" w:rsidRPr="00F96EBF">
        <w:rPr>
          <w:color w:val="000000" w:themeColor="text1"/>
          <w:lang w:val="en-GB"/>
        </w:rPr>
        <w:t xml:space="preserve"> policy recommendations (European Commission, 2013).</w:t>
      </w:r>
    </w:p>
    <w:p w14:paraId="62C7F4FB" w14:textId="77777777" w:rsidR="004D7BA5" w:rsidRPr="00F96EBF" w:rsidRDefault="004D7BA5" w:rsidP="006D08A5">
      <w:pPr>
        <w:rPr>
          <w:color w:val="000000" w:themeColor="text1"/>
          <w:lang w:val="en-GB"/>
        </w:rPr>
      </w:pPr>
    </w:p>
    <w:p w14:paraId="1BEF7C76" w14:textId="14460D86" w:rsidR="00EE2DF2" w:rsidRPr="00F96EBF" w:rsidRDefault="00241D29" w:rsidP="0014594C">
      <w:pPr>
        <w:jc w:val="both"/>
        <w:rPr>
          <w:color w:val="000000" w:themeColor="text1"/>
          <w:lang w:val="en-GB"/>
        </w:rPr>
      </w:pPr>
      <w:r w:rsidRPr="00F96EBF">
        <w:rPr>
          <w:color w:val="000000" w:themeColor="text1"/>
          <w:lang w:val="en-GB"/>
        </w:rPr>
        <w:t>Spain follows the general trend of southern European countries</w:t>
      </w:r>
      <w:r w:rsidR="0014594C" w:rsidRPr="0014594C">
        <w:rPr>
          <w:color w:val="0432FF"/>
        </w:rPr>
        <w:t>;</w:t>
      </w:r>
      <w:r w:rsidRPr="0014594C">
        <w:rPr>
          <w:color w:val="0432FF"/>
          <w:lang w:val="en-GB"/>
        </w:rPr>
        <w:t xml:space="preserve"> </w:t>
      </w:r>
      <w:r w:rsidR="000317A3" w:rsidRPr="004974AC">
        <w:rPr>
          <w:color w:val="000000" w:themeColor="text1"/>
          <w:lang w:val="en-GB"/>
        </w:rPr>
        <w:t xml:space="preserve">girls </w:t>
      </w:r>
      <w:r w:rsidRPr="004974AC">
        <w:rPr>
          <w:color w:val="000000" w:themeColor="text1"/>
          <w:lang w:val="en-GB"/>
        </w:rPr>
        <w:t xml:space="preserve">tend to have lower </w:t>
      </w:r>
      <w:r w:rsidR="00022352" w:rsidRPr="004974AC">
        <w:rPr>
          <w:color w:val="000000" w:themeColor="text1"/>
          <w:lang w:val="en-GB"/>
        </w:rPr>
        <w:t>rates</w:t>
      </w:r>
      <w:r w:rsidRPr="004974AC">
        <w:rPr>
          <w:color w:val="000000" w:themeColor="text1"/>
          <w:lang w:val="en-GB"/>
        </w:rPr>
        <w:t xml:space="preserve"> of school failure and dropout</w:t>
      </w:r>
      <w:r w:rsidR="00022352" w:rsidRPr="004974AC">
        <w:rPr>
          <w:color w:val="000000" w:themeColor="text1"/>
          <w:lang w:val="en-GB"/>
        </w:rPr>
        <w:t>,</w:t>
      </w:r>
      <w:r w:rsidRPr="004974AC">
        <w:rPr>
          <w:color w:val="000000" w:themeColor="text1"/>
          <w:lang w:val="en-GB"/>
        </w:rPr>
        <w:t xml:space="preserve"> and better education outcomes (</w:t>
      </w:r>
      <w:proofErr w:type="spellStart"/>
      <w:r w:rsidRPr="004974AC">
        <w:rPr>
          <w:color w:val="000000" w:themeColor="text1"/>
          <w:lang w:val="en-GB"/>
        </w:rPr>
        <w:t>Casquero</w:t>
      </w:r>
      <w:proofErr w:type="spellEnd"/>
      <w:r w:rsidRPr="004974AC">
        <w:rPr>
          <w:color w:val="000000" w:themeColor="text1"/>
          <w:lang w:val="en-GB"/>
        </w:rPr>
        <w:t xml:space="preserve"> &amp; Navarro, 2010; Martínez, 2011). As</w:t>
      </w:r>
      <w:r w:rsidR="0014594C" w:rsidRPr="004974AC">
        <w:rPr>
          <w:color w:val="000000" w:themeColor="text1"/>
          <w:lang w:val="en-GB"/>
        </w:rPr>
        <w:t xml:space="preserve"> noted by</w:t>
      </w:r>
      <w:r w:rsidRPr="004974AC">
        <w:rPr>
          <w:color w:val="000000" w:themeColor="text1"/>
          <w:lang w:val="en-GB"/>
        </w:rPr>
        <w:t xml:space="preserve"> Donlevy et al. (2019), the gender gap between men and women </w:t>
      </w:r>
      <w:r w:rsidR="00022352" w:rsidRPr="004974AC">
        <w:rPr>
          <w:color w:val="000000" w:themeColor="text1"/>
          <w:lang w:val="en-GB"/>
        </w:rPr>
        <w:t>in</w:t>
      </w:r>
      <w:r w:rsidRPr="004974AC">
        <w:rPr>
          <w:color w:val="000000" w:themeColor="text1"/>
          <w:lang w:val="en-GB"/>
        </w:rPr>
        <w:t xml:space="preserve"> </w:t>
      </w:r>
      <w:r w:rsidR="00BE46F9" w:rsidRPr="004974AC">
        <w:rPr>
          <w:color w:val="000000" w:themeColor="text1"/>
          <w:lang w:val="en-GB"/>
        </w:rPr>
        <w:t xml:space="preserve">early school leaving </w:t>
      </w:r>
      <w:r w:rsidR="00022352" w:rsidRPr="004974AC">
        <w:rPr>
          <w:color w:val="000000" w:themeColor="text1"/>
          <w:lang w:val="en-GB"/>
        </w:rPr>
        <w:t>in Spain</w:t>
      </w:r>
      <w:r w:rsidRPr="004974AC">
        <w:rPr>
          <w:color w:val="000000" w:themeColor="text1"/>
          <w:lang w:val="en-GB"/>
        </w:rPr>
        <w:t xml:space="preserve"> is one of the </w:t>
      </w:r>
      <w:r w:rsidR="0095591A" w:rsidRPr="004974AC">
        <w:rPr>
          <w:color w:val="000000" w:themeColor="text1"/>
          <w:lang w:val="en-GB"/>
        </w:rPr>
        <w:t>widest</w:t>
      </w:r>
      <w:r w:rsidRPr="004974AC">
        <w:rPr>
          <w:color w:val="000000" w:themeColor="text1"/>
          <w:lang w:val="en-GB"/>
        </w:rPr>
        <w:t xml:space="preserve"> </w:t>
      </w:r>
      <w:r w:rsidR="0095591A" w:rsidRPr="004974AC">
        <w:rPr>
          <w:color w:val="000000" w:themeColor="text1"/>
          <w:lang w:val="en-GB"/>
        </w:rPr>
        <w:t>in</w:t>
      </w:r>
      <w:r w:rsidRPr="004974AC">
        <w:rPr>
          <w:color w:val="000000" w:themeColor="text1"/>
          <w:lang w:val="en-GB"/>
        </w:rPr>
        <w:t xml:space="preserve"> the European Union.</w:t>
      </w:r>
      <w:r w:rsidR="003740E4" w:rsidRPr="004974AC">
        <w:rPr>
          <w:color w:val="000000" w:themeColor="text1"/>
          <w:lang w:val="en-GB"/>
        </w:rPr>
        <w:t xml:space="preserve"> Spain belongs to </w:t>
      </w:r>
      <w:r w:rsidR="00E12901" w:rsidRPr="004974AC">
        <w:rPr>
          <w:color w:val="000000" w:themeColor="text1"/>
          <w:lang w:val="en-GB"/>
        </w:rPr>
        <w:t>a</w:t>
      </w:r>
      <w:r w:rsidR="003740E4" w:rsidRPr="004974AC">
        <w:rPr>
          <w:color w:val="000000" w:themeColor="text1"/>
          <w:lang w:val="en-GB"/>
        </w:rPr>
        <w:t xml:space="preserve"> group of </w:t>
      </w:r>
      <w:r w:rsidR="003D7764" w:rsidRPr="004974AC">
        <w:rPr>
          <w:color w:val="000000" w:themeColor="text1"/>
          <w:lang w:val="en-GB"/>
        </w:rPr>
        <w:t>five</w:t>
      </w:r>
      <w:r w:rsidR="003740E4" w:rsidRPr="004974AC">
        <w:rPr>
          <w:color w:val="000000" w:themeColor="text1"/>
          <w:lang w:val="en-GB"/>
        </w:rPr>
        <w:t xml:space="preserve"> countries </w:t>
      </w:r>
      <w:r w:rsidR="006249D5" w:rsidRPr="004974AC">
        <w:rPr>
          <w:color w:val="000000" w:themeColor="text1"/>
          <w:lang w:val="en-GB"/>
        </w:rPr>
        <w:t xml:space="preserve">(Estonia, Spain, Latvia, Portugal and Denmark) </w:t>
      </w:r>
      <w:r w:rsidR="003740E4" w:rsidRPr="004974AC">
        <w:rPr>
          <w:color w:val="000000" w:themeColor="text1"/>
          <w:lang w:val="en-GB"/>
        </w:rPr>
        <w:t xml:space="preserve">with </w:t>
      </w:r>
      <w:r w:rsidR="0014594C" w:rsidRPr="004974AC">
        <w:rPr>
          <w:color w:val="000000" w:themeColor="text1"/>
          <w:lang w:val="en-GB"/>
        </w:rPr>
        <w:t>a greater</w:t>
      </w:r>
      <w:r w:rsidR="003740E4" w:rsidRPr="004974AC">
        <w:rPr>
          <w:color w:val="000000" w:themeColor="text1"/>
          <w:lang w:val="en-GB"/>
        </w:rPr>
        <w:t xml:space="preserve"> than </w:t>
      </w:r>
      <w:r w:rsidR="0014594C" w:rsidRPr="004974AC">
        <w:rPr>
          <w:color w:val="000000" w:themeColor="text1"/>
          <w:lang w:val="en-GB"/>
        </w:rPr>
        <w:t>five</w:t>
      </w:r>
      <w:r w:rsidR="003740E4" w:rsidRPr="004974AC">
        <w:rPr>
          <w:color w:val="000000" w:themeColor="text1"/>
          <w:lang w:val="en-GB"/>
        </w:rPr>
        <w:t xml:space="preserve"> percentage points </w:t>
      </w:r>
      <w:r w:rsidR="0014594C" w:rsidRPr="004974AC">
        <w:rPr>
          <w:color w:val="000000" w:themeColor="text1"/>
          <w:lang w:val="en-GB"/>
        </w:rPr>
        <w:t xml:space="preserve">difference in </w:t>
      </w:r>
      <w:r w:rsidR="003D7764" w:rsidRPr="004974AC">
        <w:rPr>
          <w:color w:val="000000" w:themeColor="text1"/>
          <w:lang w:val="en-GB"/>
        </w:rPr>
        <w:t>the number of</w:t>
      </w:r>
      <w:r w:rsidR="003740E4" w:rsidRPr="004974AC">
        <w:rPr>
          <w:color w:val="000000" w:themeColor="text1"/>
          <w:lang w:val="en-GB"/>
        </w:rPr>
        <w:t xml:space="preserve"> men and women </w:t>
      </w:r>
      <w:r w:rsidR="003D7764" w:rsidRPr="004974AC">
        <w:rPr>
          <w:color w:val="000000" w:themeColor="text1"/>
          <w:lang w:val="en-GB"/>
        </w:rPr>
        <w:t>leaving school early</w:t>
      </w:r>
      <w:r w:rsidR="003740E4" w:rsidRPr="004974AC">
        <w:rPr>
          <w:color w:val="000000" w:themeColor="text1"/>
          <w:lang w:val="en-GB"/>
        </w:rPr>
        <w:t>.</w:t>
      </w:r>
      <w:r w:rsidRPr="004974AC">
        <w:rPr>
          <w:color w:val="000000" w:themeColor="text1"/>
          <w:lang w:val="en-GB"/>
        </w:rPr>
        <w:t xml:space="preserve"> Additionally</w:t>
      </w:r>
      <w:r w:rsidR="00EE2DF2" w:rsidRPr="004974AC">
        <w:rPr>
          <w:color w:val="000000" w:themeColor="text1"/>
          <w:lang w:val="en-GB"/>
        </w:rPr>
        <w:t>, there ar</w:t>
      </w:r>
      <w:r w:rsidR="00EE2DF2" w:rsidRPr="00F96EBF">
        <w:rPr>
          <w:color w:val="000000" w:themeColor="text1"/>
          <w:lang w:val="en-GB"/>
        </w:rPr>
        <w:t xml:space="preserve">e substantial </w:t>
      </w:r>
      <w:r w:rsidR="00FB4835" w:rsidRPr="00F96EBF">
        <w:rPr>
          <w:color w:val="000000" w:themeColor="text1"/>
          <w:lang w:val="en-GB"/>
        </w:rPr>
        <w:t>disparities</w:t>
      </w:r>
      <w:r w:rsidR="00EE2DF2" w:rsidRPr="00F96EBF">
        <w:rPr>
          <w:color w:val="000000" w:themeColor="text1"/>
          <w:lang w:val="en-GB"/>
        </w:rPr>
        <w:t xml:space="preserve"> between regions </w:t>
      </w:r>
      <w:r w:rsidR="00417166" w:rsidRPr="00F96EBF">
        <w:rPr>
          <w:color w:val="000000" w:themeColor="text1"/>
          <w:lang w:val="en-GB"/>
        </w:rPr>
        <w:t xml:space="preserve">for </w:t>
      </w:r>
      <w:r w:rsidR="00BE46F9" w:rsidRPr="00F96EBF">
        <w:rPr>
          <w:color w:val="000000" w:themeColor="text1"/>
          <w:lang w:val="en-GB"/>
        </w:rPr>
        <w:t xml:space="preserve">early school leaving </w:t>
      </w:r>
      <w:r w:rsidR="00EE2DF2" w:rsidRPr="00F96EBF">
        <w:rPr>
          <w:color w:val="000000" w:themeColor="text1"/>
          <w:lang w:val="en-GB"/>
        </w:rPr>
        <w:t>(Bayón-</w:t>
      </w:r>
      <w:r w:rsidR="00EE2DF2" w:rsidRPr="004974AC">
        <w:rPr>
          <w:color w:val="000000" w:themeColor="text1"/>
          <w:lang w:val="en-GB"/>
        </w:rPr>
        <w:t xml:space="preserve">Calvo </w:t>
      </w:r>
      <w:r w:rsidR="0009261F" w:rsidRPr="004974AC">
        <w:rPr>
          <w:color w:val="000000" w:themeColor="text1"/>
          <w:lang w:val="en-GB"/>
        </w:rPr>
        <w:t xml:space="preserve">et al., </w:t>
      </w:r>
      <w:r w:rsidR="00EE2DF2" w:rsidRPr="004974AC">
        <w:rPr>
          <w:color w:val="000000" w:themeColor="text1"/>
          <w:lang w:val="en-GB"/>
        </w:rPr>
        <w:t>2017</w:t>
      </w:r>
      <w:r w:rsidR="00EE2DF2" w:rsidRPr="00F96EBF">
        <w:rPr>
          <w:color w:val="000000" w:themeColor="text1"/>
          <w:lang w:val="en-GB"/>
        </w:rPr>
        <w:t xml:space="preserve">; Serrano, Soler &amp; Hernández, 2013) and </w:t>
      </w:r>
      <w:r w:rsidR="001239DF" w:rsidRPr="00F96EBF">
        <w:rPr>
          <w:color w:val="000000" w:themeColor="text1"/>
          <w:lang w:val="en-GB"/>
        </w:rPr>
        <w:t xml:space="preserve">for </w:t>
      </w:r>
      <w:r w:rsidR="00EE2DF2" w:rsidRPr="00F96EBF">
        <w:rPr>
          <w:color w:val="000000" w:themeColor="text1"/>
          <w:lang w:val="en-GB"/>
        </w:rPr>
        <w:t xml:space="preserve">other educational outcomes (Gil, 2014). </w:t>
      </w:r>
      <w:r w:rsidR="00714061" w:rsidRPr="00F96EBF">
        <w:rPr>
          <w:color w:val="000000" w:themeColor="text1"/>
          <w:lang w:val="en-GB"/>
        </w:rPr>
        <w:t xml:space="preserve">The picture is one in which </w:t>
      </w:r>
      <w:r w:rsidR="001239DF" w:rsidRPr="00F96EBF">
        <w:rPr>
          <w:color w:val="000000" w:themeColor="text1"/>
          <w:lang w:val="en-GB"/>
        </w:rPr>
        <w:t xml:space="preserve">the </w:t>
      </w:r>
      <w:r w:rsidR="00714061" w:rsidRPr="00F96EBF">
        <w:rPr>
          <w:color w:val="000000" w:themeColor="text1"/>
          <w:lang w:val="en-GB"/>
        </w:rPr>
        <w:t xml:space="preserve">northern </w:t>
      </w:r>
      <w:r w:rsidR="00714061" w:rsidRPr="004974AC">
        <w:rPr>
          <w:color w:val="000000" w:themeColor="text1"/>
          <w:lang w:val="en-GB"/>
        </w:rPr>
        <w:t>regions</w:t>
      </w:r>
      <w:r w:rsidR="0014594C" w:rsidRPr="004974AC">
        <w:rPr>
          <w:color w:val="000000" w:themeColor="text1"/>
          <w:lang w:val="en-GB"/>
        </w:rPr>
        <w:t xml:space="preserve"> of Europe</w:t>
      </w:r>
      <w:r w:rsidR="00714061" w:rsidRPr="004974AC">
        <w:rPr>
          <w:color w:val="000000" w:themeColor="text1"/>
          <w:lang w:val="en-GB"/>
        </w:rPr>
        <w:t xml:space="preserve"> generally </w:t>
      </w:r>
      <w:r w:rsidR="00714061" w:rsidRPr="00F96EBF">
        <w:rPr>
          <w:color w:val="000000" w:themeColor="text1"/>
          <w:lang w:val="en-GB"/>
        </w:rPr>
        <w:t xml:space="preserve">have advantages over the southern ones (Cabrera, 2013). </w:t>
      </w:r>
      <w:r w:rsidR="008E1AA9" w:rsidRPr="00F96EBF">
        <w:rPr>
          <w:color w:val="000000" w:themeColor="text1"/>
          <w:lang w:val="en-GB"/>
        </w:rPr>
        <w:t xml:space="preserve">As Bayón-Calvo et al. (2020) </w:t>
      </w:r>
      <w:r w:rsidR="005C0C09" w:rsidRPr="00F96EBF">
        <w:rPr>
          <w:color w:val="000000" w:themeColor="text1"/>
          <w:lang w:val="en-GB"/>
        </w:rPr>
        <w:t>showed</w:t>
      </w:r>
      <w:r w:rsidR="00494750" w:rsidRPr="00F96EBF">
        <w:rPr>
          <w:color w:val="000000" w:themeColor="text1"/>
          <w:lang w:val="en-GB"/>
        </w:rPr>
        <w:t xml:space="preserve">, these </w:t>
      </w:r>
      <w:r w:rsidR="00E91D56" w:rsidRPr="00F96EBF">
        <w:rPr>
          <w:color w:val="000000" w:themeColor="text1"/>
          <w:lang w:val="en-GB"/>
        </w:rPr>
        <w:t xml:space="preserve">regional </w:t>
      </w:r>
      <w:r w:rsidR="00494750" w:rsidRPr="00F96EBF">
        <w:rPr>
          <w:color w:val="000000" w:themeColor="text1"/>
          <w:lang w:val="en-GB"/>
        </w:rPr>
        <w:t>differences</w:t>
      </w:r>
      <w:r w:rsidR="00E91D56" w:rsidRPr="00F96EBF">
        <w:rPr>
          <w:color w:val="000000" w:themeColor="text1"/>
          <w:lang w:val="en-GB"/>
        </w:rPr>
        <w:t xml:space="preserve">, despite being common in southern European countries, </w:t>
      </w:r>
      <w:r w:rsidR="001239DF" w:rsidRPr="00F96EBF">
        <w:rPr>
          <w:color w:val="000000" w:themeColor="text1"/>
          <w:lang w:val="en-GB"/>
        </w:rPr>
        <w:t>are greatest in Spain, which</w:t>
      </w:r>
      <w:r w:rsidR="00B40918" w:rsidRPr="00F96EBF">
        <w:rPr>
          <w:color w:val="000000" w:themeColor="text1"/>
          <w:lang w:val="en-GB"/>
        </w:rPr>
        <w:t xml:space="preserve"> </w:t>
      </w:r>
      <w:r w:rsidR="00714061" w:rsidRPr="00F96EBF">
        <w:rPr>
          <w:color w:val="000000" w:themeColor="text1"/>
          <w:lang w:val="en-GB"/>
        </w:rPr>
        <w:t xml:space="preserve">could be </w:t>
      </w:r>
      <w:r w:rsidR="00EE2DF2" w:rsidRPr="00F96EBF">
        <w:rPr>
          <w:color w:val="000000" w:themeColor="text1"/>
          <w:lang w:val="en-GB"/>
        </w:rPr>
        <w:t>attributed to the socio</w:t>
      </w:r>
      <w:r w:rsidR="00AB436D" w:rsidRPr="00F96EBF">
        <w:rPr>
          <w:color w:val="000000" w:themeColor="text1"/>
          <w:lang w:val="en-GB"/>
        </w:rPr>
        <w:t>-</w:t>
      </w:r>
      <w:r w:rsidR="00EE2DF2" w:rsidRPr="00F96EBF">
        <w:rPr>
          <w:color w:val="000000" w:themeColor="text1"/>
          <w:lang w:val="en-GB"/>
        </w:rPr>
        <w:t>economic and educational context as well as individual characteristics</w:t>
      </w:r>
      <w:r w:rsidR="00C51023" w:rsidRPr="00F96EBF">
        <w:rPr>
          <w:color w:val="000000" w:themeColor="text1"/>
          <w:lang w:val="en-GB"/>
        </w:rPr>
        <w:t>.</w:t>
      </w:r>
      <w:r w:rsidR="00714061" w:rsidRPr="00F96EBF">
        <w:rPr>
          <w:color w:val="000000" w:themeColor="text1"/>
          <w:lang w:val="en-GB"/>
        </w:rPr>
        <w:t xml:space="preserve"> In this sense, regional distribution could reflect an important part of socio-economic segregation</w:t>
      </w:r>
      <w:r w:rsidR="003C0DFB" w:rsidRPr="00F96EBF">
        <w:rPr>
          <w:color w:val="000000" w:themeColor="text1"/>
          <w:lang w:val="en-GB"/>
        </w:rPr>
        <w:t xml:space="preserve">, </w:t>
      </w:r>
      <w:r w:rsidR="00AB436D" w:rsidRPr="00F96EBF">
        <w:rPr>
          <w:color w:val="000000" w:themeColor="text1"/>
          <w:lang w:val="en-GB"/>
        </w:rPr>
        <w:t>showing</w:t>
      </w:r>
      <w:r w:rsidR="003C0DFB" w:rsidRPr="00F96EBF">
        <w:rPr>
          <w:color w:val="000000" w:themeColor="text1"/>
          <w:lang w:val="en-GB"/>
        </w:rPr>
        <w:t xml:space="preserve"> the effect of variables such as poverty, social exclusion, unemployment or social class distribution</w:t>
      </w:r>
      <w:r w:rsidR="00714061" w:rsidRPr="00F96EBF">
        <w:rPr>
          <w:color w:val="000000" w:themeColor="text1"/>
          <w:lang w:val="en-GB"/>
        </w:rPr>
        <w:t>.</w:t>
      </w:r>
      <w:r w:rsidR="00C51023" w:rsidRPr="00F96EBF">
        <w:rPr>
          <w:color w:val="000000" w:themeColor="text1"/>
          <w:lang w:val="en-GB"/>
        </w:rPr>
        <w:t xml:space="preserve"> </w:t>
      </w:r>
    </w:p>
    <w:p w14:paraId="79793EFD" w14:textId="111126D4" w:rsidR="00192B9F" w:rsidRPr="00F96EBF" w:rsidRDefault="00192B9F" w:rsidP="006D08A5">
      <w:pPr>
        <w:rPr>
          <w:color w:val="000000" w:themeColor="text1"/>
          <w:lang w:val="en-GB"/>
        </w:rPr>
      </w:pPr>
      <w:bookmarkStart w:id="3" w:name="_Hlk2486513"/>
    </w:p>
    <w:bookmarkEnd w:id="3"/>
    <w:p w14:paraId="28FC43A4" w14:textId="5165CF2F" w:rsidR="00CA7F26" w:rsidRPr="00F96EBF" w:rsidRDefault="00CA7F26" w:rsidP="007C5D1B">
      <w:pPr>
        <w:rPr>
          <w:b/>
          <w:color w:val="000000" w:themeColor="text1"/>
          <w:lang w:val="en-GB"/>
        </w:rPr>
      </w:pPr>
      <w:r w:rsidRPr="00F96EBF">
        <w:rPr>
          <w:b/>
          <w:color w:val="000000" w:themeColor="text1"/>
          <w:lang w:val="en-GB"/>
        </w:rPr>
        <w:t xml:space="preserve">3 </w:t>
      </w:r>
      <w:proofErr w:type="gramStart"/>
      <w:r w:rsidRPr="00F96EBF">
        <w:rPr>
          <w:b/>
          <w:color w:val="000000" w:themeColor="text1"/>
          <w:lang w:val="en-GB"/>
        </w:rPr>
        <w:t>M</w:t>
      </w:r>
      <w:r w:rsidR="007C5D1B">
        <w:rPr>
          <w:b/>
          <w:color w:val="000000" w:themeColor="text1"/>
          <w:lang w:val="en-GB"/>
        </w:rPr>
        <w:t>ETHODOLOGY</w:t>
      </w:r>
      <w:proofErr w:type="gramEnd"/>
    </w:p>
    <w:p w14:paraId="2662ACCD" w14:textId="44096DD8" w:rsidR="00E058B0" w:rsidRDefault="00E058B0" w:rsidP="007D065C">
      <w:pPr>
        <w:jc w:val="both"/>
        <w:rPr>
          <w:color w:val="000000" w:themeColor="text1"/>
          <w:lang w:val="en-GB"/>
        </w:rPr>
      </w:pPr>
      <w:r w:rsidRPr="004974AC">
        <w:rPr>
          <w:color w:val="000000" w:themeColor="text1"/>
          <w:lang w:val="en-GB"/>
        </w:rPr>
        <w:lastRenderedPageBreak/>
        <w:t xml:space="preserve">This article </w:t>
      </w:r>
      <w:r w:rsidR="00353852" w:rsidRPr="004974AC">
        <w:rPr>
          <w:color w:val="000000" w:themeColor="text1"/>
          <w:lang w:val="en-GB"/>
        </w:rPr>
        <w:t xml:space="preserve">reports on a study in which we used a </w:t>
      </w:r>
      <w:r w:rsidRPr="004974AC">
        <w:rPr>
          <w:color w:val="000000" w:themeColor="text1"/>
          <w:lang w:val="en-GB"/>
        </w:rPr>
        <w:t xml:space="preserve">quantitative methodology based on the analysis of secondary data. Specifically, we </w:t>
      </w:r>
      <w:r w:rsidR="00353852" w:rsidRPr="004974AC">
        <w:rPr>
          <w:color w:val="000000" w:themeColor="text1"/>
          <w:lang w:val="en-GB"/>
        </w:rPr>
        <w:t xml:space="preserve">conducted </w:t>
      </w:r>
      <w:r w:rsidRPr="004974AC">
        <w:rPr>
          <w:color w:val="000000" w:themeColor="text1"/>
          <w:lang w:val="en-GB"/>
        </w:rPr>
        <w:t>descriptive analysis of the evolution and interregional situation of the different educational indicators studied</w:t>
      </w:r>
      <w:r w:rsidR="00211595" w:rsidRPr="004974AC">
        <w:rPr>
          <w:color w:val="000000" w:themeColor="text1"/>
          <w:lang w:val="en-GB"/>
        </w:rPr>
        <w:t xml:space="preserve">. </w:t>
      </w:r>
      <w:r w:rsidR="00BB6B4D" w:rsidRPr="004974AC">
        <w:rPr>
          <w:color w:val="000000" w:themeColor="text1"/>
          <w:lang w:val="en-GB"/>
        </w:rPr>
        <w:t>The analysis focused on</w:t>
      </w:r>
      <w:r w:rsidR="00211595" w:rsidRPr="004974AC">
        <w:rPr>
          <w:color w:val="000000" w:themeColor="text1"/>
          <w:lang w:val="en-GB"/>
        </w:rPr>
        <w:t xml:space="preserve"> the evolution of the re</w:t>
      </w:r>
      <w:r w:rsidR="00211595" w:rsidRPr="00F96EBF">
        <w:rPr>
          <w:color w:val="000000" w:themeColor="text1"/>
          <w:lang w:val="en-GB"/>
        </w:rPr>
        <w:t xml:space="preserve">gional situation and differences in each educational indicator for </w:t>
      </w:r>
      <w:r w:rsidR="00211595" w:rsidRPr="004974AC">
        <w:rPr>
          <w:color w:val="000000" w:themeColor="text1"/>
          <w:lang w:val="en-GB"/>
        </w:rPr>
        <w:t>the period 2001</w:t>
      </w:r>
      <w:r w:rsidR="006811F0" w:rsidRPr="004974AC">
        <w:rPr>
          <w:color w:val="000000" w:themeColor="text1"/>
          <w:lang w:val="en-GB"/>
        </w:rPr>
        <w:sym w:font="Symbol" w:char="F02D"/>
      </w:r>
      <w:r w:rsidR="00211595" w:rsidRPr="004974AC">
        <w:rPr>
          <w:color w:val="000000" w:themeColor="text1"/>
          <w:lang w:val="en-GB"/>
        </w:rPr>
        <w:t xml:space="preserve">2015. </w:t>
      </w:r>
      <w:r w:rsidR="00A41CEF" w:rsidRPr="004974AC">
        <w:rPr>
          <w:color w:val="000000" w:themeColor="text1"/>
          <w:lang w:val="en-GB"/>
        </w:rPr>
        <w:t>Next, w</w:t>
      </w:r>
      <w:r w:rsidR="00211595" w:rsidRPr="004974AC">
        <w:rPr>
          <w:color w:val="000000" w:themeColor="text1"/>
          <w:lang w:val="en-GB"/>
        </w:rPr>
        <w:t>e appl</w:t>
      </w:r>
      <w:r w:rsidR="00A41CEF" w:rsidRPr="004974AC">
        <w:rPr>
          <w:color w:val="000000" w:themeColor="text1"/>
          <w:lang w:val="en-GB"/>
        </w:rPr>
        <w:t>ied</w:t>
      </w:r>
      <w:r w:rsidR="00211595" w:rsidRPr="004974AC">
        <w:rPr>
          <w:color w:val="000000" w:themeColor="text1"/>
          <w:lang w:val="en-GB"/>
        </w:rPr>
        <w:t xml:space="preserve"> an</w:t>
      </w:r>
      <w:r w:rsidRPr="004974AC">
        <w:rPr>
          <w:color w:val="000000" w:themeColor="text1"/>
          <w:lang w:val="en-GB"/>
        </w:rPr>
        <w:t xml:space="preserve"> ordinary least squares</w:t>
      </w:r>
      <w:r w:rsidR="00A41CEF" w:rsidRPr="004974AC">
        <w:rPr>
          <w:color w:val="000000" w:themeColor="text1"/>
          <w:lang w:val="en-GB"/>
        </w:rPr>
        <w:t xml:space="preserve"> (OLS</w:t>
      </w:r>
      <w:r w:rsidRPr="004974AC">
        <w:rPr>
          <w:color w:val="000000" w:themeColor="text1"/>
          <w:lang w:val="en-GB"/>
        </w:rPr>
        <w:t xml:space="preserve">) regression analysis </w:t>
      </w:r>
      <w:r w:rsidR="00211595" w:rsidRPr="004974AC">
        <w:rPr>
          <w:color w:val="000000" w:themeColor="text1"/>
          <w:lang w:val="en-GB"/>
        </w:rPr>
        <w:t xml:space="preserve">using aggregate data from Spanish </w:t>
      </w:r>
      <w:r w:rsidR="00A41CEF" w:rsidRPr="004974AC">
        <w:rPr>
          <w:color w:val="000000" w:themeColor="text1"/>
          <w:lang w:val="en-GB"/>
        </w:rPr>
        <w:t xml:space="preserve">regions </w:t>
      </w:r>
      <w:r w:rsidRPr="004974AC">
        <w:rPr>
          <w:color w:val="000000" w:themeColor="text1"/>
          <w:lang w:val="en-GB"/>
        </w:rPr>
        <w:t>to evaluate the relation</w:t>
      </w:r>
      <w:r w:rsidR="006811F0" w:rsidRPr="004974AC">
        <w:rPr>
          <w:color w:val="000000" w:themeColor="text1"/>
          <w:lang w:val="en-GB"/>
        </w:rPr>
        <w:t>ship</w:t>
      </w:r>
      <w:r w:rsidRPr="004974AC">
        <w:rPr>
          <w:color w:val="000000" w:themeColor="text1"/>
          <w:lang w:val="en-GB"/>
        </w:rPr>
        <w:t xml:space="preserve"> </w:t>
      </w:r>
      <w:r w:rsidR="00211595" w:rsidRPr="004974AC">
        <w:rPr>
          <w:color w:val="000000" w:themeColor="text1"/>
          <w:lang w:val="en-GB"/>
        </w:rPr>
        <w:t xml:space="preserve">between </w:t>
      </w:r>
      <w:r w:rsidR="00BE46F9" w:rsidRPr="004974AC">
        <w:rPr>
          <w:color w:val="000000" w:themeColor="text1"/>
          <w:lang w:val="en-GB"/>
        </w:rPr>
        <w:t xml:space="preserve">early school leaving </w:t>
      </w:r>
      <w:r w:rsidRPr="004974AC">
        <w:rPr>
          <w:color w:val="000000" w:themeColor="text1"/>
          <w:lang w:val="en-GB"/>
        </w:rPr>
        <w:t>rates</w:t>
      </w:r>
      <w:r w:rsidR="00211595" w:rsidRPr="004974AC">
        <w:rPr>
          <w:color w:val="000000" w:themeColor="text1"/>
          <w:lang w:val="en-GB"/>
        </w:rPr>
        <w:t xml:space="preserve"> and other educational indicators</w:t>
      </w:r>
      <w:r w:rsidRPr="004974AC">
        <w:rPr>
          <w:color w:val="000000" w:themeColor="text1"/>
          <w:lang w:val="en-GB"/>
        </w:rPr>
        <w:t>.</w:t>
      </w:r>
      <w:r w:rsidR="00A41CEF" w:rsidRPr="004974AC">
        <w:rPr>
          <w:color w:val="000000" w:themeColor="text1"/>
          <w:lang w:val="en-GB"/>
        </w:rPr>
        <w:t xml:space="preserve"> </w:t>
      </w:r>
      <w:r w:rsidR="006811F0" w:rsidRPr="004974AC">
        <w:rPr>
          <w:color w:val="000000" w:themeColor="text1"/>
          <w:lang w:val="en-GB"/>
        </w:rPr>
        <w:t>We</w:t>
      </w:r>
      <w:r w:rsidRPr="004974AC">
        <w:rPr>
          <w:color w:val="000000" w:themeColor="text1"/>
          <w:lang w:val="en-GB"/>
        </w:rPr>
        <w:t xml:space="preserve"> analyse</w:t>
      </w:r>
      <w:r w:rsidR="00C91255" w:rsidRPr="004974AC">
        <w:rPr>
          <w:color w:val="000000" w:themeColor="text1"/>
          <w:lang w:val="en-GB"/>
        </w:rPr>
        <w:t>d</w:t>
      </w:r>
      <w:r w:rsidRPr="004974AC">
        <w:rPr>
          <w:color w:val="000000" w:themeColor="text1"/>
          <w:lang w:val="en-GB"/>
        </w:rPr>
        <w:t xml:space="preserve"> the degree of association between </w:t>
      </w:r>
      <w:r w:rsidR="00BE46F9" w:rsidRPr="004974AC">
        <w:rPr>
          <w:color w:val="000000" w:themeColor="text1"/>
          <w:lang w:val="en-GB"/>
        </w:rPr>
        <w:t xml:space="preserve">early school leaving </w:t>
      </w:r>
      <w:r w:rsidRPr="004974AC">
        <w:rPr>
          <w:color w:val="000000" w:themeColor="text1"/>
          <w:lang w:val="en-GB"/>
        </w:rPr>
        <w:t>and other phenomena related to pr</w:t>
      </w:r>
      <w:r w:rsidR="007D065C" w:rsidRPr="004974AC">
        <w:rPr>
          <w:color w:val="000000" w:themeColor="text1"/>
          <w:lang w:val="en-GB"/>
        </w:rPr>
        <w:t>ior</w:t>
      </w:r>
      <w:r w:rsidRPr="004974AC">
        <w:rPr>
          <w:color w:val="000000" w:themeColor="text1"/>
          <w:lang w:val="en-GB"/>
        </w:rPr>
        <w:t xml:space="preserve"> education, </w:t>
      </w:r>
      <w:r w:rsidR="007D065C" w:rsidRPr="004974AC">
        <w:rPr>
          <w:color w:val="000000" w:themeColor="text1"/>
          <w:lang w:val="en-GB"/>
        </w:rPr>
        <w:t xml:space="preserve">with particular </w:t>
      </w:r>
      <w:r w:rsidR="00CC28AE" w:rsidRPr="004974AC">
        <w:rPr>
          <w:color w:val="000000" w:themeColor="text1"/>
          <w:lang w:val="en-GB"/>
        </w:rPr>
        <w:t xml:space="preserve">focus </w:t>
      </w:r>
      <w:r w:rsidR="00CC28AE" w:rsidRPr="00F96EBF">
        <w:rPr>
          <w:color w:val="000000" w:themeColor="text1"/>
          <w:lang w:val="en-GB"/>
        </w:rPr>
        <w:t>on regional and gender differences</w:t>
      </w:r>
      <w:r w:rsidRPr="00F96EBF">
        <w:rPr>
          <w:color w:val="000000" w:themeColor="text1"/>
          <w:lang w:val="en-GB"/>
        </w:rPr>
        <w:t>.</w:t>
      </w:r>
      <w:r w:rsidR="00CC28AE" w:rsidRPr="00F96EBF">
        <w:rPr>
          <w:color w:val="000000" w:themeColor="text1"/>
          <w:lang w:val="en-GB"/>
        </w:rPr>
        <w:t xml:space="preserve"> </w:t>
      </w:r>
      <w:r w:rsidR="009D736E" w:rsidRPr="00F96EBF">
        <w:rPr>
          <w:color w:val="000000" w:themeColor="text1"/>
          <w:lang w:val="en-GB"/>
        </w:rPr>
        <w:t>All the data presented in this paper c</w:t>
      </w:r>
      <w:r w:rsidR="00C91255" w:rsidRPr="00F96EBF">
        <w:rPr>
          <w:color w:val="000000" w:themeColor="text1"/>
          <w:lang w:val="en-GB"/>
        </w:rPr>
        <w:t>a</w:t>
      </w:r>
      <w:r w:rsidR="009D736E" w:rsidRPr="00F96EBF">
        <w:rPr>
          <w:color w:val="000000" w:themeColor="text1"/>
          <w:lang w:val="en-GB"/>
        </w:rPr>
        <w:t xml:space="preserve">me from regional level statistics </w:t>
      </w:r>
      <w:r w:rsidR="006811F0" w:rsidRPr="00F96EBF">
        <w:rPr>
          <w:color w:val="000000" w:themeColor="text1"/>
          <w:lang w:val="en-GB"/>
        </w:rPr>
        <w:t xml:space="preserve">gathered </w:t>
      </w:r>
      <w:r w:rsidR="009D736E" w:rsidRPr="00F96EBF">
        <w:rPr>
          <w:color w:val="000000" w:themeColor="text1"/>
          <w:lang w:val="en-GB"/>
        </w:rPr>
        <w:t xml:space="preserve">by the </w:t>
      </w:r>
      <w:r w:rsidRPr="00F96EBF">
        <w:rPr>
          <w:color w:val="000000" w:themeColor="text1"/>
          <w:lang w:val="en-GB"/>
        </w:rPr>
        <w:t>Spanish Ministry of Education.</w:t>
      </w:r>
      <w:r w:rsidR="004E5A66" w:rsidRPr="00F96EBF">
        <w:rPr>
          <w:color w:val="000000" w:themeColor="text1"/>
          <w:lang w:val="en-GB"/>
        </w:rPr>
        <w:t xml:space="preserve"> </w:t>
      </w:r>
      <w:r w:rsidR="004E5A66" w:rsidRPr="004974AC">
        <w:rPr>
          <w:color w:val="000000" w:themeColor="text1"/>
          <w:lang w:val="en-GB"/>
        </w:rPr>
        <w:t xml:space="preserve">Table </w:t>
      </w:r>
      <w:r w:rsidR="007D065C" w:rsidRPr="004974AC">
        <w:rPr>
          <w:color w:val="000000" w:themeColor="text1"/>
          <w:lang w:val="en-GB"/>
        </w:rPr>
        <w:t>1</w:t>
      </w:r>
      <w:r w:rsidR="004E5A66" w:rsidRPr="004974AC">
        <w:rPr>
          <w:color w:val="000000" w:themeColor="text1"/>
          <w:lang w:val="en-GB"/>
        </w:rPr>
        <w:t xml:space="preserve"> shows </w:t>
      </w:r>
      <w:r w:rsidR="004E5A66" w:rsidRPr="00F96EBF">
        <w:rPr>
          <w:color w:val="000000" w:themeColor="text1"/>
          <w:lang w:val="en-GB"/>
        </w:rPr>
        <w:t>the indicators and definitions used in the analysis.</w:t>
      </w:r>
    </w:p>
    <w:p w14:paraId="6DEDA966" w14:textId="77777777" w:rsidR="003F2155" w:rsidRPr="00F96EBF" w:rsidRDefault="003F2155" w:rsidP="006D08A5">
      <w:pPr>
        <w:rPr>
          <w:color w:val="000000" w:themeColor="text1"/>
          <w:lang w:val="en-GB"/>
        </w:rPr>
      </w:pPr>
    </w:p>
    <w:p w14:paraId="77ADAD1A" w14:textId="2F2D80C6" w:rsidR="004E5A66" w:rsidRPr="003F2155" w:rsidRDefault="003F2155" w:rsidP="003F2155">
      <w:pPr>
        <w:keepNext/>
        <w:jc w:val="center"/>
        <w:rPr>
          <w:bCs/>
          <w:color w:val="000000" w:themeColor="text1"/>
          <w:lang w:val="en-GB"/>
        </w:rPr>
      </w:pPr>
      <w:r w:rsidRPr="003F2155">
        <w:rPr>
          <w:bCs/>
          <w:color w:val="000000" w:themeColor="text1"/>
          <w:lang w:val="en-GB"/>
        </w:rPr>
        <w:t>[</w:t>
      </w:r>
      <w:r w:rsidR="004E5A66" w:rsidRPr="003F2155">
        <w:rPr>
          <w:bCs/>
          <w:color w:val="000000" w:themeColor="text1"/>
          <w:lang w:val="en-GB"/>
        </w:rPr>
        <w:t xml:space="preserve">Insert Table </w:t>
      </w:r>
      <w:r>
        <w:rPr>
          <w:bCs/>
          <w:color w:val="000000" w:themeColor="text1"/>
          <w:lang w:val="en-GB"/>
        </w:rPr>
        <w:t xml:space="preserve">1 </w:t>
      </w:r>
      <w:r w:rsidR="004E5A66" w:rsidRPr="003F2155">
        <w:rPr>
          <w:bCs/>
          <w:color w:val="000000" w:themeColor="text1"/>
          <w:lang w:val="en-GB"/>
        </w:rPr>
        <w:t>here</w:t>
      </w:r>
      <w:r w:rsidRPr="003F2155">
        <w:rPr>
          <w:bCs/>
          <w:color w:val="000000" w:themeColor="text1"/>
          <w:lang w:val="en-GB"/>
        </w:rPr>
        <w:t>]</w:t>
      </w:r>
    </w:p>
    <w:p w14:paraId="7A399CE2" w14:textId="77777777" w:rsidR="00F83CC6" w:rsidRDefault="00F83CC6" w:rsidP="00F83CC6">
      <w:pPr>
        <w:rPr>
          <w:b/>
          <w:color w:val="000000" w:themeColor="text1"/>
          <w:lang w:val="en-GB"/>
        </w:rPr>
      </w:pPr>
    </w:p>
    <w:p w14:paraId="417E1962" w14:textId="66F93162" w:rsidR="00CA7F26" w:rsidRPr="00F96EBF" w:rsidRDefault="00CA7F26" w:rsidP="00F83CC6">
      <w:pPr>
        <w:rPr>
          <w:b/>
          <w:color w:val="000000" w:themeColor="text1"/>
          <w:lang w:val="en-GB"/>
        </w:rPr>
      </w:pPr>
      <w:r w:rsidRPr="00F96EBF">
        <w:rPr>
          <w:b/>
          <w:color w:val="000000" w:themeColor="text1"/>
          <w:lang w:val="en-GB"/>
        </w:rPr>
        <w:t xml:space="preserve">4 </w:t>
      </w:r>
      <w:r w:rsidR="00F83CC6">
        <w:rPr>
          <w:b/>
          <w:color w:val="000000" w:themeColor="text1"/>
          <w:lang w:val="en-GB"/>
        </w:rPr>
        <w:t xml:space="preserve">EMPIRICAL </w:t>
      </w:r>
      <w:proofErr w:type="gramStart"/>
      <w:r w:rsidR="00F83CC6">
        <w:rPr>
          <w:b/>
          <w:color w:val="000000" w:themeColor="text1"/>
          <w:lang w:val="en-GB"/>
        </w:rPr>
        <w:t>ANALYSIS</w:t>
      </w:r>
      <w:proofErr w:type="gramEnd"/>
    </w:p>
    <w:p w14:paraId="40A3B508" w14:textId="225C0951" w:rsidR="00E058B0" w:rsidRDefault="00E058B0" w:rsidP="00B61DC3">
      <w:pPr>
        <w:jc w:val="both"/>
        <w:rPr>
          <w:color w:val="000000" w:themeColor="text1"/>
        </w:rPr>
      </w:pPr>
      <w:r w:rsidRPr="00F96EBF">
        <w:rPr>
          <w:color w:val="000000" w:themeColor="text1"/>
          <w:lang w:val="en-GB"/>
        </w:rPr>
        <w:t xml:space="preserve">The descriptive </w:t>
      </w:r>
      <w:r w:rsidRPr="004974AC">
        <w:rPr>
          <w:color w:val="000000" w:themeColor="text1"/>
          <w:lang w:val="en-GB"/>
        </w:rPr>
        <w:t>analysis of different education indicators and their relation</w:t>
      </w:r>
      <w:r w:rsidR="000F4C31" w:rsidRPr="004974AC">
        <w:rPr>
          <w:color w:val="000000" w:themeColor="text1"/>
          <w:lang w:val="en-GB"/>
        </w:rPr>
        <w:t>ship</w:t>
      </w:r>
      <w:r w:rsidRPr="004974AC">
        <w:rPr>
          <w:color w:val="000000" w:themeColor="text1"/>
          <w:lang w:val="en-GB"/>
        </w:rPr>
        <w:t xml:space="preserve"> with </w:t>
      </w:r>
      <w:r w:rsidR="00BE46F9" w:rsidRPr="004974AC">
        <w:rPr>
          <w:color w:val="000000" w:themeColor="text1"/>
          <w:lang w:val="en-GB"/>
        </w:rPr>
        <w:t xml:space="preserve">early school leaving </w:t>
      </w:r>
      <w:r w:rsidRPr="004974AC">
        <w:rPr>
          <w:color w:val="000000" w:themeColor="text1"/>
          <w:lang w:val="en-GB"/>
        </w:rPr>
        <w:t xml:space="preserve">are developed </w:t>
      </w:r>
      <w:r w:rsidR="005A0B85" w:rsidRPr="004974AC">
        <w:rPr>
          <w:color w:val="000000" w:themeColor="text1"/>
          <w:lang w:val="en-GB"/>
        </w:rPr>
        <w:t>in the following</w:t>
      </w:r>
      <w:r w:rsidRPr="004974AC">
        <w:rPr>
          <w:color w:val="000000" w:themeColor="text1"/>
          <w:lang w:val="en-GB"/>
        </w:rPr>
        <w:t xml:space="preserve">. </w:t>
      </w:r>
      <w:r w:rsidR="005A0B85" w:rsidRPr="004974AC">
        <w:rPr>
          <w:color w:val="000000" w:themeColor="text1"/>
          <w:lang w:val="en-GB"/>
        </w:rPr>
        <w:t>First, we studied</w:t>
      </w:r>
      <w:r w:rsidRPr="004974AC">
        <w:rPr>
          <w:color w:val="000000" w:themeColor="text1"/>
          <w:lang w:val="en-GB"/>
        </w:rPr>
        <w:t xml:space="preserve"> the evolution and interregional differences of each indicator. </w:t>
      </w:r>
      <w:r w:rsidR="005A0B85" w:rsidRPr="004974AC">
        <w:rPr>
          <w:color w:val="000000" w:themeColor="text1"/>
          <w:lang w:val="en-GB"/>
        </w:rPr>
        <w:t>In terms of</w:t>
      </w:r>
      <w:r w:rsidRPr="004974AC">
        <w:rPr>
          <w:color w:val="000000" w:themeColor="text1"/>
          <w:lang w:val="en-GB"/>
        </w:rPr>
        <w:t xml:space="preserve"> evolution, </w:t>
      </w:r>
      <w:r w:rsidR="00585E91" w:rsidRPr="004974AC">
        <w:rPr>
          <w:color w:val="000000" w:themeColor="text1"/>
          <w:lang w:val="en-GB"/>
        </w:rPr>
        <w:t>we observed the performance over time dividing</w:t>
      </w:r>
      <w:r w:rsidRPr="004974AC">
        <w:rPr>
          <w:color w:val="000000" w:themeColor="text1"/>
          <w:lang w:val="en-GB"/>
        </w:rPr>
        <w:t xml:space="preserve"> the period into two parts, with a break in 2008. </w:t>
      </w:r>
      <w:r w:rsidR="005A0B85" w:rsidRPr="004974AC">
        <w:rPr>
          <w:color w:val="000000" w:themeColor="text1"/>
          <w:lang w:val="en-GB"/>
        </w:rPr>
        <w:t xml:space="preserve">We proceeded to analyse two periods corresponding with (1) </w:t>
      </w:r>
      <w:r w:rsidRPr="004974AC">
        <w:rPr>
          <w:color w:val="000000" w:themeColor="text1"/>
          <w:lang w:val="en-GB"/>
        </w:rPr>
        <w:t>the academic years 2000/01‒2007/08</w:t>
      </w:r>
      <w:r w:rsidR="005A0B85" w:rsidRPr="004974AC">
        <w:rPr>
          <w:color w:val="000000" w:themeColor="text1"/>
          <w:lang w:val="en-GB"/>
        </w:rPr>
        <w:t xml:space="preserve"> </w:t>
      </w:r>
      <w:r w:rsidRPr="004974AC">
        <w:rPr>
          <w:color w:val="000000" w:themeColor="text1"/>
          <w:lang w:val="en-GB"/>
        </w:rPr>
        <w:t xml:space="preserve">and </w:t>
      </w:r>
      <w:r w:rsidR="005A0B85" w:rsidRPr="004974AC">
        <w:rPr>
          <w:color w:val="000000" w:themeColor="text1"/>
          <w:lang w:val="en-GB"/>
        </w:rPr>
        <w:t>(2)</w:t>
      </w:r>
      <w:r w:rsidR="004974AC" w:rsidRPr="004974AC">
        <w:rPr>
          <w:color w:val="000000" w:themeColor="text1"/>
          <w:lang w:val="en-GB"/>
        </w:rPr>
        <w:t xml:space="preserve"> 2008/09‒2014/15</w:t>
      </w:r>
      <w:r w:rsidRPr="004974AC">
        <w:rPr>
          <w:color w:val="000000" w:themeColor="text1"/>
          <w:lang w:val="en-GB"/>
        </w:rPr>
        <w:t xml:space="preserve">. </w:t>
      </w:r>
      <w:r w:rsidR="005A0B85" w:rsidRPr="004974AC">
        <w:rPr>
          <w:color w:val="000000" w:themeColor="text1"/>
          <w:lang w:val="en-GB"/>
        </w:rPr>
        <w:t>T</w:t>
      </w:r>
      <w:r w:rsidRPr="004974AC">
        <w:rPr>
          <w:color w:val="000000" w:themeColor="text1"/>
          <w:lang w:val="en-GB"/>
        </w:rPr>
        <w:t xml:space="preserve">he division </w:t>
      </w:r>
      <w:r w:rsidR="005A0B85" w:rsidRPr="004974AC">
        <w:rPr>
          <w:color w:val="000000" w:themeColor="text1"/>
          <w:lang w:val="en-GB"/>
        </w:rPr>
        <w:t xml:space="preserve">was </w:t>
      </w:r>
      <w:r w:rsidRPr="004974AC">
        <w:rPr>
          <w:color w:val="000000" w:themeColor="text1"/>
          <w:lang w:val="en-GB"/>
        </w:rPr>
        <w:t xml:space="preserve">justified by </w:t>
      </w:r>
      <w:r w:rsidR="005A0B85" w:rsidRPr="004974AC">
        <w:rPr>
          <w:color w:val="000000" w:themeColor="text1"/>
          <w:lang w:val="en-GB"/>
        </w:rPr>
        <w:t xml:space="preserve">a 2008 marking a point in time when </w:t>
      </w:r>
      <w:r w:rsidRPr="004974AC">
        <w:rPr>
          <w:color w:val="000000" w:themeColor="text1"/>
          <w:lang w:val="en-GB"/>
        </w:rPr>
        <w:t xml:space="preserve">the </w:t>
      </w:r>
      <w:r w:rsidR="00BE46F9" w:rsidRPr="004974AC">
        <w:rPr>
          <w:color w:val="000000" w:themeColor="text1"/>
          <w:lang w:val="en-GB"/>
        </w:rPr>
        <w:t xml:space="preserve">early school leaving </w:t>
      </w:r>
      <w:r w:rsidRPr="004974AC">
        <w:rPr>
          <w:color w:val="000000" w:themeColor="text1"/>
          <w:lang w:val="en-GB"/>
        </w:rPr>
        <w:t>rate beg</w:t>
      </w:r>
      <w:r w:rsidR="005A0B85" w:rsidRPr="004974AC">
        <w:rPr>
          <w:color w:val="000000" w:themeColor="text1"/>
          <w:lang w:val="en-GB"/>
        </w:rPr>
        <w:t>a</w:t>
      </w:r>
      <w:r w:rsidRPr="004974AC">
        <w:rPr>
          <w:color w:val="000000" w:themeColor="text1"/>
          <w:lang w:val="en-GB"/>
        </w:rPr>
        <w:t>n to decrease</w:t>
      </w:r>
      <w:r w:rsidR="00682E54" w:rsidRPr="004974AC">
        <w:rPr>
          <w:color w:val="000000" w:themeColor="text1"/>
          <w:lang w:val="en-GB"/>
        </w:rPr>
        <w:t xml:space="preserve">; </w:t>
      </w:r>
      <w:r w:rsidR="00B52034" w:rsidRPr="004974AC">
        <w:rPr>
          <w:color w:val="000000" w:themeColor="text1"/>
          <w:lang w:val="en-GB"/>
        </w:rPr>
        <w:t xml:space="preserve">the second period starting in </w:t>
      </w:r>
      <w:r w:rsidRPr="004974AC">
        <w:rPr>
          <w:color w:val="000000" w:themeColor="text1"/>
          <w:lang w:val="en-GB"/>
        </w:rPr>
        <w:t xml:space="preserve">2008 </w:t>
      </w:r>
      <w:r w:rsidR="00B52034" w:rsidRPr="004974AC">
        <w:rPr>
          <w:color w:val="000000" w:themeColor="text1"/>
          <w:lang w:val="en-GB"/>
        </w:rPr>
        <w:t xml:space="preserve">represents </w:t>
      </w:r>
      <w:r w:rsidRPr="004974AC">
        <w:rPr>
          <w:color w:val="000000" w:themeColor="text1"/>
          <w:lang w:val="en-GB"/>
        </w:rPr>
        <w:t>a</w:t>
      </w:r>
      <w:r w:rsidR="00B52034" w:rsidRPr="004974AC">
        <w:rPr>
          <w:color w:val="000000" w:themeColor="text1"/>
          <w:lang w:val="en-GB"/>
        </w:rPr>
        <w:t xml:space="preserve"> different</w:t>
      </w:r>
      <w:r w:rsidRPr="004974AC">
        <w:rPr>
          <w:color w:val="000000" w:themeColor="text1"/>
          <w:lang w:val="en-GB"/>
        </w:rPr>
        <w:t xml:space="preserve"> economic cycle </w:t>
      </w:r>
      <w:r w:rsidR="00B52034" w:rsidRPr="004974AC">
        <w:rPr>
          <w:color w:val="000000" w:themeColor="text1"/>
          <w:lang w:val="en-GB"/>
        </w:rPr>
        <w:t xml:space="preserve">associated with possibly </w:t>
      </w:r>
      <w:r w:rsidRPr="004974AC">
        <w:rPr>
          <w:color w:val="000000" w:themeColor="text1"/>
          <w:lang w:val="en-GB"/>
        </w:rPr>
        <w:t xml:space="preserve">different </w:t>
      </w:r>
      <w:r w:rsidR="00B52034" w:rsidRPr="004974AC">
        <w:rPr>
          <w:color w:val="000000" w:themeColor="text1"/>
          <w:lang w:val="en-GB"/>
        </w:rPr>
        <w:t xml:space="preserve">variables for </w:t>
      </w:r>
      <w:r w:rsidRPr="004974AC">
        <w:rPr>
          <w:color w:val="000000" w:themeColor="text1"/>
          <w:lang w:val="en-GB"/>
        </w:rPr>
        <w:t xml:space="preserve">education (Bayón-Calvo, 2019). </w:t>
      </w:r>
      <w:r w:rsidR="00252F29" w:rsidRPr="004974AC">
        <w:rPr>
          <w:color w:val="000000" w:themeColor="text1"/>
          <w:lang w:val="en-GB"/>
        </w:rPr>
        <w:t>T</w:t>
      </w:r>
      <w:r w:rsidRPr="004974AC">
        <w:rPr>
          <w:color w:val="000000" w:themeColor="text1"/>
          <w:lang w:val="en-GB"/>
        </w:rPr>
        <w:t xml:space="preserve">o analyse regional differences, an indicator </w:t>
      </w:r>
      <w:r w:rsidR="000F4C31" w:rsidRPr="004974AC">
        <w:rPr>
          <w:color w:val="000000" w:themeColor="text1"/>
          <w:lang w:val="en-GB"/>
        </w:rPr>
        <w:t>was</w:t>
      </w:r>
      <w:r w:rsidRPr="004974AC">
        <w:rPr>
          <w:color w:val="000000" w:themeColor="text1"/>
          <w:lang w:val="en-GB"/>
        </w:rPr>
        <w:t xml:space="preserve"> constructed for the last year taking the national average as a reference (Spain</w:t>
      </w:r>
      <w:r w:rsidR="000F4C31" w:rsidRPr="004974AC">
        <w:rPr>
          <w:color w:val="000000" w:themeColor="text1"/>
          <w:lang w:val="en-GB"/>
        </w:rPr>
        <w:t xml:space="preserve"> </w:t>
      </w:r>
      <w:r w:rsidRPr="004974AC">
        <w:rPr>
          <w:color w:val="000000" w:themeColor="text1"/>
          <w:lang w:val="en-GB"/>
        </w:rPr>
        <w:t>=</w:t>
      </w:r>
      <w:r w:rsidR="000F4C31" w:rsidRPr="004974AC">
        <w:rPr>
          <w:color w:val="000000" w:themeColor="text1"/>
          <w:lang w:val="en-GB"/>
        </w:rPr>
        <w:t xml:space="preserve"> </w:t>
      </w:r>
      <w:r w:rsidRPr="004974AC">
        <w:rPr>
          <w:color w:val="000000" w:themeColor="text1"/>
          <w:lang w:val="en-GB"/>
        </w:rPr>
        <w:t xml:space="preserve">100). </w:t>
      </w:r>
      <w:r w:rsidR="00252F29" w:rsidRPr="004974AC">
        <w:rPr>
          <w:color w:val="000000" w:themeColor="text1"/>
          <w:lang w:val="en-GB"/>
        </w:rPr>
        <w:t xml:space="preserve">Next, </w:t>
      </w:r>
      <w:r w:rsidRPr="004974AC">
        <w:rPr>
          <w:color w:val="000000" w:themeColor="text1"/>
          <w:lang w:val="en-GB"/>
        </w:rPr>
        <w:t xml:space="preserve">OLS regressions </w:t>
      </w:r>
      <w:r w:rsidR="00C91255" w:rsidRPr="004974AC">
        <w:rPr>
          <w:color w:val="000000" w:themeColor="text1"/>
          <w:lang w:val="en-GB"/>
        </w:rPr>
        <w:t>we</w:t>
      </w:r>
      <w:r w:rsidRPr="004974AC">
        <w:rPr>
          <w:color w:val="000000" w:themeColor="text1"/>
          <w:lang w:val="en-GB"/>
        </w:rPr>
        <w:t>re carried out taking 2015 as the reference year</w:t>
      </w:r>
      <w:r w:rsidR="00D00D8B" w:rsidRPr="004974AC">
        <w:rPr>
          <w:color w:val="000000" w:themeColor="text1"/>
          <w:lang w:val="en-GB"/>
        </w:rPr>
        <w:t xml:space="preserve"> for the dependent variable (</w:t>
      </w:r>
      <w:r w:rsidR="00BE46F9" w:rsidRPr="004974AC">
        <w:rPr>
          <w:color w:val="000000" w:themeColor="text1"/>
          <w:lang w:val="en-GB"/>
        </w:rPr>
        <w:t>early school leaving</w:t>
      </w:r>
      <w:r w:rsidR="00D00D8B" w:rsidRPr="004974AC">
        <w:rPr>
          <w:color w:val="000000" w:themeColor="text1"/>
          <w:lang w:val="en-GB"/>
        </w:rPr>
        <w:t xml:space="preserve">) and previous years for the independent variables, using delays to </w:t>
      </w:r>
      <w:proofErr w:type="gramStart"/>
      <w:r w:rsidR="00C91255" w:rsidRPr="004974AC">
        <w:rPr>
          <w:color w:val="000000" w:themeColor="text1"/>
          <w:lang w:val="en-GB"/>
        </w:rPr>
        <w:t>take into account</w:t>
      </w:r>
      <w:proofErr w:type="gramEnd"/>
      <w:r w:rsidR="00C91255" w:rsidRPr="004974AC">
        <w:rPr>
          <w:color w:val="000000" w:themeColor="text1"/>
          <w:lang w:val="en-GB"/>
        </w:rPr>
        <w:t xml:space="preserve"> </w:t>
      </w:r>
      <w:r w:rsidR="00D00D8B" w:rsidRPr="004974AC">
        <w:rPr>
          <w:color w:val="000000" w:themeColor="text1"/>
          <w:lang w:val="en-GB"/>
        </w:rPr>
        <w:t>the educational stage of the indicator. We r</w:t>
      </w:r>
      <w:r w:rsidR="00C91255" w:rsidRPr="004974AC">
        <w:rPr>
          <w:color w:val="000000" w:themeColor="text1"/>
          <w:lang w:val="en-GB"/>
        </w:rPr>
        <w:t>a</w:t>
      </w:r>
      <w:r w:rsidR="00D00D8B" w:rsidRPr="004974AC">
        <w:rPr>
          <w:color w:val="000000" w:themeColor="text1"/>
          <w:lang w:val="en-GB"/>
        </w:rPr>
        <w:t>n each analysis</w:t>
      </w:r>
      <w:r w:rsidRPr="004974AC">
        <w:rPr>
          <w:color w:val="000000" w:themeColor="text1"/>
          <w:lang w:val="en-GB"/>
        </w:rPr>
        <w:t xml:space="preserve"> differentiating by gender</w:t>
      </w:r>
      <w:r w:rsidR="00252F29" w:rsidRPr="004974AC">
        <w:rPr>
          <w:color w:val="000000" w:themeColor="text1"/>
          <w:lang w:val="en-GB"/>
        </w:rPr>
        <w:t>,</w:t>
      </w:r>
      <w:r w:rsidR="00D00D8B" w:rsidRPr="004974AC">
        <w:rPr>
          <w:color w:val="000000" w:themeColor="text1"/>
          <w:lang w:val="en-GB"/>
        </w:rPr>
        <w:t xml:space="preserve"> to test whether gender differences </w:t>
      </w:r>
      <w:r w:rsidR="00C91255" w:rsidRPr="004974AC">
        <w:rPr>
          <w:color w:val="000000" w:themeColor="text1"/>
          <w:lang w:val="en-GB"/>
        </w:rPr>
        <w:t>were</w:t>
      </w:r>
      <w:r w:rsidR="00D00D8B" w:rsidRPr="004974AC">
        <w:rPr>
          <w:color w:val="000000" w:themeColor="text1"/>
          <w:lang w:val="en-GB"/>
        </w:rPr>
        <w:t xml:space="preserve"> significant when comparing </w:t>
      </w:r>
      <w:r w:rsidR="00BE46F9" w:rsidRPr="004974AC">
        <w:rPr>
          <w:color w:val="000000" w:themeColor="text1"/>
          <w:lang w:val="en-GB"/>
        </w:rPr>
        <w:t xml:space="preserve">early school leaving </w:t>
      </w:r>
      <w:r w:rsidR="00D00D8B" w:rsidRPr="004974AC">
        <w:rPr>
          <w:color w:val="000000" w:themeColor="text1"/>
          <w:lang w:val="en-GB"/>
        </w:rPr>
        <w:t>and other educational indicators at</w:t>
      </w:r>
      <w:r w:rsidR="00252F29" w:rsidRPr="004974AC">
        <w:rPr>
          <w:color w:val="000000" w:themeColor="text1"/>
          <w:lang w:val="en-GB"/>
        </w:rPr>
        <w:t xml:space="preserve"> the</w:t>
      </w:r>
      <w:r w:rsidR="00D00D8B" w:rsidRPr="004974AC">
        <w:rPr>
          <w:color w:val="000000" w:themeColor="text1"/>
          <w:lang w:val="en-GB"/>
        </w:rPr>
        <w:t xml:space="preserve"> regional level</w:t>
      </w:r>
      <w:r w:rsidR="00C91255" w:rsidRPr="004974AC">
        <w:rPr>
          <w:color w:val="000000" w:themeColor="text1"/>
          <w:lang w:val="en-GB"/>
        </w:rPr>
        <w:t>.</w:t>
      </w:r>
      <w:r w:rsidR="00B507CC" w:rsidRPr="004974AC">
        <w:rPr>
          <w:color w:val="000000" w:themeColor="text1"/>
        </w:rPr>
        <w:t xml:space="preserve"> Results of OLS regressions are presented in </w:t>
      </w:r>
      <w:r w:rsidR="00DD7C8E">
        <w:rPr>
          <w:color w:val="000000" w:themeColor="text1"/>
        </w:rPr>
        <w:t>Table 2</w:t>
      </w:r>
      <w:r w:rsidR="000943E7" w:rsidRPr="004974AC">
        <w:rPr>
          <w:color w:val="000000" w:themeColor="text1"/>
        </w:rPr>
        <w:t>.</w:t>
      </w:r>
    </w:p>
    <w:p w14:paraId="4807C0B3" w14:textId="77777777" w:rsidR="00D44AD2" w:rsidRDefault="00D44AD2" w:rsidP="00B61DC3">
      <w:pPr>
        <w:jc w:val="both"/>
        <w:rPr>
          <w:color w:val="000000" w:themeColor="text1"/>
        </w:rPr>
      </w:pPr>
    </w:p>
    <w:p w14:paraId="7BA019B9" w14:textId="605A7052" w:rsidR="00D44AD2" w:rsidRPr="00AC130A" w:rsidRDefault="00D44AD2" w:rsidP="00D44AD2">
      <w:pPr>
        <w:keepNext/>
        <w:jc w:val="center"/>
        <w:rPr>
          <w:bCs/>
          <w:color w:val="000000" w:themeColor="text1"/>
          <w:lang w:val="en-GB"/>
        </w:rPr>
      </w:pPr>
      <w:r w:rsidRPr="00AC130A">
        <w:rPr>
          <w:bCs/>
          <w:color w:val="000000" w:themeColor="text1"/>
          <w:lang w:val="en-GB"/>
        </w:rPr>
        <w:t xml:space="preserve">[Insert Table </w:t>
      </w:r>
      <w:r>
        <w:rPr>
          <w:bCs/>
          <w:color w:val="000000" w:themeColor="text1"/>
          <w:lang w:val="en-GB"/>
        </w:rPr>
        <w:t>2</w:t>
      </w:r>
      <w:r w:rsidRPr="00AC130A">
        <w:rPr>
          <w:bCs/>
          <w:color w:val="000000" w:themeColor="text1"/>
          <w:lang w:val="en-GB"/>
        </w:rPr>
        <w:t xml:space="preserve"> here]</w:t>
      </w:r>
    </w:p>
    <w:p w14:paraId="3E0437A9" w14:textId="77777777" w:rsidR="00682E54" w:rsidRPr="00F96EBF" w:rsidRDefault="00682E54" w:rsidP="006D08A5">
      <w:pPr>
        <w:rPr>
          <w:color w:val="000000" w:themeColor="text1"/>
          <w:lang w:val="en-GB"/>
        </w:rPr>
      </w:pPr>
    </w:p>
    <w:p w14:paraId="7688AEBA" w14:textId="4AF69D9F" w:rsidR="00E058B0" w:rsidRPr="002A389B" w:rsidRDefault="002A389B" w:rsidP="006D08A5">
      <w:pPr>
        <w:pStyle w:val="Ttulo2"/>
        <w:spacing w:before="0" w:after="0"/>
        <w:jc w:val="left"/>
        <w:rPr>
          <w:rFonts w:cs="Times New Roman"/>
          <w:caps w:val="0"/>
          <w:sz w:val="28"/>
          <w:szCs w:val="28"/>
        </w:rPr>
      </w:pPr>
      <w:bookmarkStart w:id="4" w:name="_Hlk2489042"/>
      <w:r w:rsidRPr="002A389B">
        <w:rPr>
          <w:rFonts w:cs="Times New Roman"/>
          <w:caps w:val="0"/>
          <w:sz w:val="28"/>
          <w:szCs w:val="28"/>
        </w:rPr>
        <w:t xml:space="preserve">4.1 </w:t>
      </w:r>
      <w:r w:rsidR="00E058B0" w:rsidRPr="002A389B">
        <w:rPr>
          <w:rFonts w:cs="Times New Roman"/>
          <w:caps w:val="0"/>
          <w:sz w:val="28"/>
          <w:szCs w:val="28"/>
        </w:rPr>
        <w:t>School life expectancy</w:t>
      </w:r>
    </w:p>
    <w:bookmarkEnd w:id="4"/>
    <w:p w14:paraId="558822D0" w14:textId="2D08C1A4" w:rsidR="00E058B0" w:rsidRDefault="00E058B0" w:rsidP="00AC130A">
      <w:pPr>
        <w:jc w:val="both"/>
        <w:rPr>
          <w:color w:val="000000" w:themeColor="text1"/>
          <w:lang w:val="en-GB"/>
        </w:rPr>
      </w:pPr>
      <w:r w:rsidRPr="00D341BB">
        <w:rPr>
          <w:color w:val="000000" w:themeColor="text1"/>
          <w:lang w:val="en-GB"/>
        </w:rPr>
        <w:t>School life expectancy</w:t>
      </w:r>
      <w:r w:rsidRPr="00F96EBF">
        <w:rPr>
          <w:color w:val="000000" w:themeColor="text1"/>
          <w:lang w:val="en-GB"/>
        </w:rPr>
        <w:t xml:space="preserve"> </w:t>
      </w:r>
      <w:r w:rsidRPr="004974AC">
        <w:rPr>
          <w:color w:val="000000" w:themeColor="text1"/>
          <w:lang w:val="en-GB"/>
        </w:rPr>
        <w:t>estimates</w:t>
      </w:r>
      <w:r w:rsidR="00AC130A" w:rsidRPr="004974AC">
        <w:rPr>
          <w:color w:val="000000" w:themeColor="text1"/>
          <w:lang w:val="en-GB"/>
        </w:rPr>
        <w:t>,</w:t>
      </w:r>
      <w:r w:rsidRPr="004974AC">
        <w:rPr>
          <w:color w:val="000000" w:themeColor="text1"/>
          <w:lang w:val="en-GB"/>
        </w:rPr>
        <w:t xml:space="preserve"> at the age of six</w:t>
      </w:r>
      <w:r w:rsidR="00AC130A" w:rsidRPr="004974AC">
        <w:rPr>
          <w:color w:val="000000" w:themeColor="text1"/>
          <w:lang w:val="en-GB"/>
        </w:rPr>
        <w:t>,</w:t>
      </w:r>
      <w:r w:rsidRPr="004974AC">
        <w:rPr>
          <w:color w:val="000000" w:themeColor="text1"/>
          <w:lang w:val="en-GB"/>
        </w:rPr>
        <w:t xml:space="preserve"> the number of years that individuals are expected to be enrolled in </w:t>
      </w:r>
      <w:r w:rsidR="00AC130A" w:rsidRPr="004974AC">
        <w:rPr>
          <w:color w:val="000000" w:themeColor="text1"/>
          <w:lang w:val="en-GB"/>
        </w:rPr>
        <w:t>different</w:t>
      </w:r>
      <w:r w:rsidRPr="004974AC">
        <w:rPr>
          <w:color w:val="000000" w:themeColor="text1"/>
          <w:lang w:val="en-GB"/>
        </w:rPr>
        <w:t xml:space="preserve"> stages of the education system, regardless of the </w:t>
      </w:r>
      <w:r w:rsidR="00AA51C2" w:rsidRPr="004974AC">
        <w:rPr>
          <w:color w:val="000000" w:themeColor="text1"/>
          <w:lang w:val="en-GB"/>
        </w:rPr>
        <w:t xml:space="preserve">final </w:t>
      </w:r>
      <w:r w:rsidRPr="004974AC">
        <w:rPr>
          <w:color w:val="000000" w:themeColor="text1"/>
          <w:lang w:val="en-GB"/>
        </w:rPr>
        <w:t>level of education they reach.</w:t>
      </w:r>
      <w:r w:rsidR="00AC130A" w:rsidRPr="004974AC">
        <w:rPr>
          <w:color w:val="000000" w:themeColor="text1"/>
          <w:lang w:val="en-GB"/>
        </w:rPr>
        <w:t xml:space="preserve"> </w:t>
      </w:r>
      <w:r w:rsidRPr="004974AC">
        <w:rPr>
          <w:color w:val="000000" w:themeColor="text1"/>
          <w:lang w:val="en-GB"/>
        </w:rPr>
        <w:t xml:space="preserve">Table </w:t>
      </w:r>
      <w:r w:rsidR="00DD7C8E">
        <w:rPr>
          <w:color w:val="000000" w:themeColor="text1"/>
          <w:lang w:val="en-GB"/>
        </w:rPr>
        <w:t>3</w:t>
      </w:r>
      <w:r w:rsidRPr="004974AC">
        <w:rPr>
          <w:color w:val="000000" w:themeColor="text1"/>
          <w:lang w:val="en-GB"/>
        </w:rPr>
        <w:t xml:space="preserve"> shows the evolution of this indicator</w:t>
      </w:r>
      <w:r w:rsidR="008C341D" w:rsidRPr="004974AC">
        <w:rPr>
          <w:color w:val="000000" w:themeColor="text1"/>
          <w:lang w:val="en-GB"/>
        </w:rPr>
        <w:t xml:space="preserve"> and the associated regional discrepancies. </w:t>
      </w:r>
      <w:r w:rsidR="00AC130A" w:rsidRPr="004974AC">
        <w:rPr>
          <w:color w:val="000000" w:themeColor="text1"/>
          <w:lang w:val="en-GB"/>
        </w:rPr>
        <w:t>School life expectancy</w:t>
      </w:r>
      <w:r w:rsidR="008C341D" w:rsidRPr="004974AC">
        <w:rPr>
          <w:color w:val="000000" w:themeColor="text1"/>
          <w:lang w:val="en-GB"/>
        </w:rPr>
        <w:t xml:space="preserve"> rose from an </w:t>
      </w:r>
      <w:r w:rsidRPr="004974AC">
        <w:rPr>
          <w:color w:val="000000" w:themeColor="text1"/>
          <w:lang w:val="en-GB"/>
        </w:rPr>
        <w:t>average of 14.5 years in the 2001</w:t>
      </w:r>
      <w:r w:rsidR="00AC130A" w:rsidRPr="004974AC">
        <w:rPr>
          <w:color w:val="000000" w:themeColor="text1"/>
          <w:lang w:val="en-GB"/>
        </w:rPr>
        <w:t>–20</w:t>
      </w:r>
      <w:r w:rsidRPr="004974AC">
        <w:rPr>
          <w:color w:val="000000" w:themeColor="text1"/>
          <w:lang w:val="en-GB"/>
        </w:rPr>
        <w:t>02 academic year to 17.5</w:t>
      </w:r>
      <w:r w:rsidR="008C341D" w:rsidRPr="004974AC">
        <w:rPr>
          <w:color w:val="000000" w:themeColor="text1"/>
          <w:lang w:val="en-GB"/>
        </w:rPr>
        <w:t xml:space="preserve"> years</w:t>
      </w:r>
      <w:r w:rsidRPr="004974AC">
        <w:rPr>
          <w:color w:val="000000" w:themeColor="text1"/>
          <w:lang w:val="en-GB"/>
        </w:rPr>
        <w:t xml:space="preserve"> in 2014</w:t>
      </w:r>
      <w:r w:rsidR="00AC130A" w:rsidRPr="004974AC">
        <w:rPr>
          <w:color w:val="000000" w:themeColor="text1"/>
          <w:lang w:val="en-GB"/>
        </w:rPr>
        <w:t>–20</w:t>
      </w:r>
      <w:r w:rsidRPr="004974AC">
        <w:rPr>
          <w:color w:val="000000" w:themeColor="text1"/>
          <w:lang w:val="en-GB"/>
        </w:rPr>
        <w:t xml:space="preserve">15. </w:t>
      </w:r>
      <w:r w:rsidR="00AC130A" w:rsidRPr="004974AC">
        <w:rPr>
          <w:color w:val="000000" w:themeColor="text1"/>
          <w:lang w:val="en-GB"/>
        </w:rPr>
        <w:t>Accordingly</w:t>
      </w:r>
      <w:r w:rsidR="002E7542" w:rsidRPr="004974AC">
        <w:rPr>
          <w:color w:val="000000" w:themeColor="text1"/>
          <w:lang w:val="en-GB"/>
        </w:rPr>
        <w:t>,</w:t>
      </w:r>
      <w:r w:rsidRPr="004974AC">
        <w:rPr>
          <w:color w:val="000000" w:themeColor="text1"/>
          <w:lang w:val="en-GB"/>
        </w:rPr>
        <w:t xml:space="preserve"> it </w:t>
      </w:r>
      <w:r w:rsidR="002E7542" w:rsidRPr="004974AC">
        <w:rPr>
          <w:color w:val="000000" w:themeColor="text1"/>
          <w:lang w:val="en-GB"/>
        </w:rPr>
        <w:t>may be predicted</w:t>
      </w:r>
      <w:r w:rsidRPr="004974AC">
        <w:rPr>
          <w:color w:val="000000" w:themeColor="text1"/>
          <w:lang w:val="en-GB"/>
        </w:rPr>
        <w:t xml:space="preserve"> that a six-year-old student will</w:t>
      </w:r>
      <w:r w:rsidR="002E7542" w:rsidRPr="004974AC">
        <w:rPr>
          <w:color w:val="000000" w:themeColor="text1"/>
          <w:lang w:val="en-GB"/>
        </w:rPr>
        <w:t xml:space="preserve"> </w:t>
      </w:r>
      <w:r w:rsidRPr="004974AC">
        <w:rPr>
          <w:color w:val="000000" w:themeColor="text1"/>
          <w:lang w:val="en-GB"/>
        </w:rPr>
        <w:t xml:space="preserve">remain in the education </w:t>
      </w:r>
      <w:r w:rsidRPr="00F96EBF">
        <w:rPr>
          <w:color w:val="000000" w:themeColor="text1"/>
          <w:lang w:val="en-GB"/>
        </w:rPr>
        <w:t>system until the age of 23.</w:t>
      </w:r>
    </w:p>
    <w:p w14:paraId="5D2CD819" w14:textId="77777777" w:rsidR="00AC130A" w:rsidRPr="00F96EBF" w:rsidRDefault="00AC130A" w:rsidP="006D08A5">
      <w:pPr>
        <w:rPr>
          <w:color w:val="000000" w:themeColor="text1"/>
          <w:lang w:val="en-GB"/>
        </w:rPr>
      </w:pPr>
    </w:p>
    <w:p w14:paraId="62AC76C7" w14:textId="4B7329F4" w:rsidR="00E058B0" w:rsidRPr="00AC130A" w:rsidRDefault="00AC130A" w:rsidP="00AC130A">
      <w:pPr>
        <w:keepNext/>
        <w:jc w:val="center"/>
        <w:rPr>
          <w:bCs/>
          <w:color w:val="000000" w:themeColor="text1"/>
          <w:lang w:val="en-GB"/>
        </w:rPr>
      </w:pPr>
      <w:r w:rsidRPr="00AC130A">
        <w:rPr>
          <w:bCs/>
          <w:color w:val="000000" w:themeColor="text1"/>
          <w:lang w:val="en-GB"/>
        </w:rPr>
        <w:t>[</w:t>
      </w:r>
      <w:r w:rsidR="00E058B0" w:rsidRPr="00AC130A">
        <w:rPr>
          <w:bCs/>
          <w:color w:val="000000" w:themeColor="text1"/>
          <w:lang w:val="en-GB"/>
        </w:rPr>
        <w:t xml:space="preserve">Insert Table </w:t>
      </w:r>
      <w:r w:rsidR="00DD7C8E">
        <w:rPr>
          <w:bCs/>
          <w:color w:val="000000" w:themeColor="text1"/>
          <w:lang w:val="en-GB"/>
        </w:rPr>
        <w:t>3</w:t>
      </w:r>
      <w:r w:rsidRPr="00AC130A">
        <w:rPr>
          <w:bCs/>
          <w:color w:val="000000" w:themeColor="text1"/>
          <w:lang w:val="en-GB"/>
        </w:rPr>
        <w:t xml:space="preserve"> </w:t>
      </w:r>
      <w:r w:rsidR="00E058B0" w:rsidRPr="00AC130A">
        <w:rPr>
          <w:bCs/>
          <w:color w:val="000000" w:themeColor="text1"/>
          <w:lang w:val="en-GB"/>
        </w:rPr>
        <w:t>here</w:t>
      </w:r>
      <w:r w:rsidRPr="00AC130A">
        <w:rPr>
          <w:bCs/>
          <w:color w:val="000000" w:themeColor="text1"/>
          <w:lang w:val="en-GB"/>
        </w:rPr>
        <w:t>]</w:t>
      </w:r>
    </w:p>
    <w:p w14:paraId="0D559BBE" w14:textId="77777777" w:rsidR="00E058B0" w:rsidRPr="00F96EBF" w:rsidRDefault="00E058B0" w:rsidP="006D08A5">
      <w:pPr>
        <w:rPr>
          <w:color w:val="000000" w:themeColor="text1"/>
          <w:lang w:val="en-GB"/>
        </w:rPr>
      </w:pPr>
    </w:p>
    <w:p w14:paraId="02CF132C" w14:textId="77777777" w:rsidR="00672CB2" w:rsidRPr="004974AC" w:rsidRDefault="00E058B0" w:rsidP="006D08A5">
      <w:pPr>
        <w:rPr>
          <w:color w:val="000000" w:themeColor="text1"/>
          <w:lang w:val="en-GB"/>
        </w:rPr>
      </w:pPr>
      <w:r w:rsidRPr="00F96EBF">
        <w:rPr>
          <w:color w:val="000000" w:themeColor="text1"/>
          <w:lang w:val="en-GB"/>
        </w:rPr>
        <w:t>Madrid, the Basque Country</w:t>
      </w:r>
      <w:r w:rsidR="00DA1076" w:rsidRPr="00F96EBF">
        <w:rPr>
          <w:color w:val="000000" w:themeColor="text1"/>
          <w:lang w:val="en-GB"/>
        </w:rPr>
        <w:t>,</w:t>
      </w:r>
      <w:r w:rsidRPr="00F96EBF">
        <w:rPr>
          <w:color w:val="000000" w:themeColor="text1"/>
          <w:lang w:val="en-GB"/>
        </w:rPr>
        <w:t xml:space="preserve"> </w:t>
      </w:r>
      <w:r w:rsidRPr="004974AC">
        <w:rPr>
          <w:color w:val="000000" w:themeColor="text1"/>
          <w:lang w:val="en-GB"/>
        </w:rPr>
        <w:t xml:space="preserve">and La Rioja </w:t>
      </w:r>
      <w:r w:rsidR="00AA51C2" w:rsidRPr="004974AC">
        <w:rPr>
          <w:color w:val="000000" w:themeColor="text1"/>
          <w:lang w:val="en-GB"/>
        </w:rPr>
        <w:t xml:space="preserve">were </w:t>
      </w:r>
      <w:r w:rsidRPr="004974AC">
        <w:rPr>
          <w:color w:val="000000" w:themeColor="text1"/>
          <w:lang w:val="en-GB"/>
        </w:rPr>
        <w:t xml:space="preserve">the regions </w:t>
      </w:r>
      <w:r w:rsidR="00AC130A" w:rsidRPr="004974AC">
        <w:rPr>
          <w:color w:val="000000" w:themeColor="text1"/>
          <w:lang w:val="en-GB"/>
        </w:rPr>
        <w:t xml:space="preserve">in Spain </w:t>
      </w:r>
      <w:r w:rsidRPr="004974AC">
        <w:rPr>
          <w:color w:val="000000" w:themeColor="text1"/>
          <w:lang w:val="en-GB"/>
        </w:rPr>
        <w:t xml:space="preserve">with the highest school life expectancy, at over 18 years. La Rioja </w:t>
      </w:r>
      <w:r w:rsidR="00AA51C2" w:rsidRPr="004974AC">
        <w:rPr>
          <w:color w:val="000000" w:themeColor="text1"/>
          <w:lang w:val="en-GB"/>
        </w:rPr>
        <w:t xml:space="preserve">was </w:t>
      </w:r>
      <w:r w:rsidRPr="004974AC">
        <w:rPr>
          <w:color w:val="000000" w:themeColor="text1"/>
          <w:lang w:val="en-GB"/>
        </w:rPr>
        <w:t xml:space="preserve">the region that experienced the </w:t>
      </w:r>
      <w:r w:rsidR="00DA1076" w:rsidRPr="004974AC">
        <w:rPr>
          <w:color w:val="000000" w:themeColor="text1"/>
          <w:lang w:val="en-GB"/>
        </w:rPr>
        <w:t>most progress</w:t>
      </w:r>
      <w:r w:rsidRPr="004974AC">
        <w:rPr>
          <w:color w:val="000000" w:themeColor="text1"/>
          <w:lang w:val="en-GB"/>
        </w:rPr>
        <w:t xml:space="preserve">, from 14 years in </w:t>
      </w:r>
      <w:r w:rsidR="00AC130A" w:rsidRPr="004974AC">
        <w:rPr>
          <w:color w:val="000000" w:themeColor="text1"/>
          <w:lang w:val="en-GB"/>
        </w:rPr>
        <w:t xml:space="preserve">2001–2002 </w:t>
      </w:r>
      <w:r w:rsidRPr="004974AC">
        <w:rPr>
          <w:color w:val="000000" w:themeColor="text1"/>
          <w:lang w:val="en-GB"/>
        </w:rPr>
        <w:t xml:space="preserve">to 20.7 years in </w:t>
      </w:r>
      <w:r w:rsidR="00AC130A" w:rsidRPr="004974AC">
        <w:rPr>
          <w:color w:val="000000" w:themeColor="text1"/>
          <w:lang w:val="en-GB"/>
        </w:rPr>
        <w:t>2014–2015</w:t>
      </w:r>
      <w:r w:rsidRPr="004974AC">
        <w:rPr>
          <w:color w:val="000000" w:themeColor="text1"/>
          <w:lang w:val="en-GB"/>
        </w:rPr>
        <w:t xml:space="preserve">. In contrast, </w:t>
      </w:r>
      <w:r w:rsidR="00DA1076" w:rsidRPr="004974AC">
        <w:rPr>
          <w:color w:val="000000" w:themeColor="text1"/>
          <w:lang w:val="en-GB"/>
        </w:rPr>
        <w:t xml:space="preserve">the </w:t>
      </w:r>
      <w:r w:rsidR="00672CB2" w:rsidRPr="004974AC">
        <w:rPr>
          <w:color w:val="000000" w:themeColor="text1"/>
          <w:lang w:val="en-GB"/>
        </w:rPr>
        <w:lastRenderedPageBreak/>
        <w:t>2014–2015 expectancy</w:t>
      </w:r>
      <w:r w:rsidR="00DA1076" w:rsidRPr="004974AC">
        <w:rPr>
          <w:color w:val="000000" w:themeColor="text1"/>
          <w:lang w:val="en-GB"/>
        </w:rPr>
        <w:t xml:space="preserve"> for </w:t>
      </w:r>
      <w:r w:rsidRPr="004974AC">
        <w:rPr>
          <w:color w:val="000000" w:themeColor="text1"/>
          <w:lang w:val="en-GB"/>
        </w:rPr>
        <w:t xml:space="preserve">the Balearic Islands </w:t>
      </w:r>
      <w:r w:rsidR="00DA1076" w:rsidRPr="004974AC">
        <w:rPr>
          <w:color w:val="000000" w:themeColor="text1"/>
          <w:lang w:val="en-GB"/>
        </w:rPr>
        <w:t xml:space="preserve">was </w:t>
      </w:r>
      <w:r w:rsidRPr="004974AC">
        <w:rPr>
          <w:color w:val="000000" w:themeColor="text1"/>
          <w:lang w:val="en-GB"/>
        </w:rPr>
        <w:t>15 years</w:t>
      </w:r>
      <w:r w:rsidR="00672CB2" w:rsidRPr="004974AC">
        <w:rPr>
          <w:color w:val="000000" w:themeColor="text1"/>
          <w:lang w:val="en-GB"/>
        </w:rPr>
        <w:t xml:space="preserve">; school life expectancy in </w:t>
      </w:r>
      <w:r w:rsidR="00D745E4" w:rsidRPr="004974AC">
        <w:rPr>
          <w:color w:val="000000" w:themeColor="text1"/>
          <w:lang w:val="en-GB"/>
        </w:rPr>
        <w:t xml:space="preserve">Asturias and Navarre were similar. </w:t>
      </w:r>
    </w:p>
    <w:p w14:paraId="12721870" w14:textId="77777777" w:rsidR="00672CB2" w:rsidRDefault="00672CB2" w:rsidP="006D08A5">
      <w:pPr>
        <w:rPr>
          <w:color w:val="000000" w:themeColor="text1"/>
          <w:lang w:val="en-GB"/>
        </w:rPr>
      </w:pPr>
    </w:p>
    <w:p w14:paraId="68FA4FDF" w14:textId="0893F6B3" w:rsidR="00E058B0" w:rsidRPr="00F96EBF" w:rsidRDefault="00DD7C8E" w:rsidP="00672CB2">
      <w:pPr>
        <w:jc w:val="both"/>
        <w:rPr>
          <w:color w:val="000000" w:themeColor="text1"/>
          <w:lang w:val="en-GB"/>
        </w:rPr>
      </w:pPr>
      <w:r>
        <w:rPr>
          <w:color w:val="000000" w:themeColor="text1"/>
          <w:lang w:val="en-GB"/>
        </w:rPr>
        <w:t>Results of OLS regression (Table 2)</w:t>
      </w:r>
      <w:r w:rsidR="00E058B0" w:rsidRPr="00F96EBF">
        <w:rPr>
          <w:color w:val="000000" w:themeColor="text1"/>
          <w:lang w:val="en-GB"/>
        </w:rPr>
        <w:t xml:space="preserve"> </w:t>
      </w:r>
      <w:r>
        <w:rPr>
          <w:color w:val="000000" w:themeColor="text1"/>
          <w:lang w:val="en-GB"/>
        </w:rPr>
        <w:t>evidence</w:t>
      </w:r>
      <w:r w:rsidR="00D745E4" w:rsidRPr="004974AC">
        <w:rPr>
          <w:color w:val="000000" w:themeColor="text1"/>
          <w:lang w:val="en-GB"/>
        </w:rPr>
        <w:t xml:space="preserve"> </w:t>
      </w:r>
      <w:r w:rsidR="00E058B0" w:rsidRPr="004974AC">
        <w:rPr>
          <w:color w:val="000000" w:themeColor="text1"/>
          <w:lang w:val="en-GB"/>
        </w:rPr>
        <w:t xml:space="preserve">the important </w:t>
      </w:r>
      <w:r w:rsidR="00E058B0" w:rsidRPr="00F96EBF">
        <w:rPr>
          <w:color w:val="000000" w:themeColor="text1"/>
          <w:lang w:val="en-GB"/>
        </w:rPr>
        <w:t>association between school life expectancy at the age of six</w:t>
      </w:r>
      <w:r w:rsidR="00D745E4" w:rsidRPr="00F96EBF">
        <w:rPr>
          <w:color w:val="000000" w:themeColor="text1"/>
          <w:lang w:val="en-GB"/>
        </w:rPr>
        <w:t xml:space="preserve"> and </w:t>
      </w:r>
      <w:r w:rsidR="00BE46F9" w:rsidRPr="00F96EBF">
        <w:rPr>
          <w:color w:val="000000" w:themeColor="text1"/>
          <w:lang w:val="en-GB"/>
        </w:rPr>
        <w:t xml:space="preserve">early school </w:t>
      </w:r>
      <w:r w:rsidR="0056339F" w:rsidRPr="00F96EBF">
        <w:rPr>
          <w:color w:val="000000" w:themeColor="text1"/>
          <w:lang w:val="en-GB"/>
        </w:rPr>
        <w:t xml:space="preserve">leaving. </w:t>
      </w:r>
      <w:r w:rsidR="00991A96" w:rsidRPr="00F96EBF">
        <w:rPr>
          <w:color w:val="000000" w:themeColor="text1"/>
          <w:lang w:val="en-GB"/>
        </w:rPr>
        <w:t>G</w:t>
      </w:r>
      <w:r w:rsidR="00E058B0" w:rsidRPr="00F96EBF">
        <w:rPr>
          <w:color w:val="000000" w:themeColor="text1"/>
          <w:lang w:val="en-GB"/>
        </w:rPr>
        <w:t xml:space="preserve">ender differences </w:t>
      </w:r>
      <w:r w:rsidR="00D745E4" w:rsidRPr="00F96EBF">
        <w:rPr>
          <w:color w:val="000000" w:themeColor="text1"/>
          <w:lang w:val="en-GB"/>
        </w:rPr>
        <w:t>were</w:t>
      </w:r>
      <w:r w:rsidR="00E058B0" w:rsidRPr="00F96EBF">
        <w:rPr>
          <w:color w:val="000000" w:themeColor="text1"/>
          <w:lang w:val="en-GB"/>
        </w:rPr>
        <w:t xml:space="preserve"> significant</w:t>
      </w:r>
      <w:r w:rsidR="00991A96" w:rsidRPr="00F96EBF">
        <w:rPr>
          <w:color w:val="000000" w:themeColor="text1"/>
          <w:lang w:val="en-GB"/>
        </w:rPr>
        <w:t xml:space="preserve">, revealing the importance of considering </w:t>
      </w:r>
      <w:r w:rsidR="00991A96" w:rsidRPr="004974AC">
        <w:rPr>
          <w:color w:val="000000" w:themeColor="text1"/>
          <w:lang w:val="en-GB"/>
        </w:rPr>
        <w:t xml:space="preserve">this variable to study </w:t>
      </w:r>
      <w:r w:rsidR="00BE46F9" w:rsidRPr="004974AC">
        <w:rPr>
          <w:color w:val="000000" w:themeColor="text1"/>
          <w:lang w:val="en-GB"/>
        </w:rPr>
        <w:t xml:space="preserve">early school leaving </w:t>
      </w:r>
      <w:r w:rsidR="00991A96" w:rsidRPr="004974AC">
        <w:rPr>
          <w:color w:val="000000" w:themeColor="text1"/>
          <w:lang w:val="en-GB"/>
        </w:rPr>
        <w:t>and other educational indicators</w:t>
      </w:r>
      <w:r w:rsidR="00E058B0" w:rsidRPr="004974AC">
        <w:rPr>
          <w:color w:val="000000" w:themeColor="text1"/>
          <w:lang w:val="en-GB"/>
        </w:rPr>
        <w:t>. The goodness of fit reache</w:t>
      </w:r>
      <w:r w:rsidR="00D745E4" w:rsidRPr="004974AC">
        <w:rPr>
          <w:color w:val="000000" w:themeColor="text1"/>
          <w:lang w:val="en-GB"/>
        </w:rPr>
        <w:t>d</w:t>
      </w:r>
      <w:r w:rsidR="00E058B0" w:rsidRPr="004974AC">
        <w:rPr>
          <w:color w:val="000000" w:themeColor="text1"/>
          <w:lang w:val="en-GB"/>
        </w:rPr>
        <w:t xml:space="preserve"> 48% </w:t>
      </w:r>
      <w:r w:rsidR="00672CB2" w:rsidRPr="004974AC">
        <w:rPr>
          <w:color w:val="000000" w:themeColor="text1"/>
          <w:lang w:val="en-GB"/>
        </w:rPr>
        <w:t>for</w:t>
      </w:r>
      <w:r w:rsidR="00E058B0" w:rsidRPr="004974AC">
        <w:rPr>
          <w:color w:val="000000" w:themeColor="text1"/>
          <w:lang w:val="en-GB"/>
        </w:rPr>
        <w:t xml:space="preserve"> </w:t>
      </w:r>
      <w:r w:rsidR="00CF1A89" w:rsidRPr="004974AC">
        <w:rPr>
          <w:color w:val="000000" w:themeColor="text1"/>
          <w:lang w:val="en-GB"/>
        </w:rPr>
        <w:t>boys</w:t>
      </w:r>
      <w:r w:rsidR="00D745E4" w:rsidRPr="004974AC">
        <w:rPr>
          <w:color w:val="000000" w:themeColor="text1"/>
          <w:lang w:val="en-GB"/>
        </w:rPr>
        <w:t>.</w:t>
      </w:r>
      <w:r w:rsidR="00E058B0" w:rsidRPr="004974AC">
        <w:rPr>
          <w:color w:val="000000" w:themeColor="text1"/>
          <w:lang w:val="en-GB"/>
        </w:rPr>
        <w:t xml:space="preserve"> </w:t>
      </w:r>
      <w:r w:rsidR="00D745E4" w:rsidRPr="004974AC">
        <w:rPr>
          <w:color w:val="000000" w:themeColor="text1"/>
          <w:lang w:val="en-GB"/>
        </w:rPr>
        <w:t xml:space="preserve">The </w:t>
      </w:r>
      <w:r w:rsidR="00E058B0" w:rsidRPr="004974AC">
        <w:rPr>
          <w:color w:val="000000" w:themeColor="text1"/>
          <w:lang w:val="en-GB"/>
        </w:rPr>
        <w:t xml:space="preserve">explanatory capacity </w:t>
      </w:r>
      <w:r w:rsidR="00AA51C2" w:rsidRPr="004974AC">
        <w:rPr>
          <w:color w:val="000000" w:themeColor="text1"/>
          <w:lang w:val="en-GB"/>
        </w:rPr>
        <w:t xml:space="preserve">was </w:t>
      </w:r>
      <w:r w:rsidR="00E058B0" w:rsidRPr="004974AC">
        <w:rPr>
          <w:color w:val="000000" w:themeColor="text1"/>
          <w:lang w:val="en-GB"/>
        </w:rPr>
        <w:t>more limited</w:t>
      </w:r>
      <w:r w:rsidR="00D745E4" w:rsidRPr="004974AC">
        <w:rPr>
          <w:color w:val="000000" w:themeColor="text1"/>
          <w:lang w:val="en-GB"/>
        </w:rPr>
        <w:t xml:space="preserve"> </w:t>
      </w:r>
      <w:r w:rsidR="00672CB2" w:rsidRPr="004974AC">
        <w:rPr>
          <w:color w:val="000000" w:themeColor="text1"/>
          <w:lang w:val="en-GB"/>
        </w:rPr>
        <w:t>for</w:t>
      </w:r>
      <w:r w:rsidR="00D745E4" w:rsidRPr="004974AC">
        <w:rPr>
          <w:color w:val="000000" w:themeColor="text1"/>
          <w:lang w:val="en-GB"/>
        </w:rPr>
        <w:t xml:space="preserve"> </w:t>
      </w:r>
      <w:r w:rsidR="00CF1A89" w:rsidRPr="004974AC">
        <w:rPr>
          <w:color w:val="000000" w:themeColor="text1"/>
          <w:lang w:val="en-GB"/>
        </w:rPr>
        <w:t>girls</w:t>
      </w:r>
      <w:r w:rsidR="00E058B0" w:rsidRPr="004974AC">
        <w:rPr>
          <w:color w:val="000000" w:themeColor="text1"/>
          <w:lang w:val="en-GB"/>
        </w:rPr>
        <w:t xml:space="preserve">. From this result, it </w:t>
      </w:r>
      <w:r w:rsidR="00D745E4" w:rsidRPr="004974AC">
        <w:rPr>
          <w:color w:val="000000" w:themeColor="text1"/>
          <w:lang w:val="en-GB"/>
        </w:rPr>
        <w:t xml:space="preserve">may </w:t>
      </w:r>
      <w:r w:rsidR="00E058B0" w:rsidRPr="004974AC">
        <w:rPr>
          <w:color w:val="000000" w:themeColor="text1"/>
          <w:lang w:val="en-GB"/>
        </w:rPr>
        <w:t xml:space="preserve">be inferred that early school leavers </w:t>
      </w:r>
      <w:r w:rsidR="00D745E4" w:rsidRPr="004974AC">
        <w:rPr>
          <w:color w:val="000000" w:themeColor="text1"/>
          <w:lang w:val="en-GB"/>
        </w:rPr>
        <w:t>had</w:t>
      </w:r>
      <w:r w:rsidR="00E058B0" w:rsidRPr="004974AC">
        <w:rPr>
          <w:color w:val="000000" w:themeColor="text1"/>
          <w:lang w:val="en-GB"/>
        </w:rPr>
        <w:t xml:space="preserve"> shown </w:t>
      </w:r>
      <w:r w:rsidR="00D745E4" w:rsidRPr="004974AC">
        <w:rPr>
          <w:color w:val="000000" w:themeColor="text1"/>
          <w:lang w:val="en-GB"/>
        </w:rPr>
        <w:t xml:space="preserve">early </w:t>
      </w:r>
      <w:r w:rsidR="00E058B0" w:rsidRPr="004974AC">
        <w:rPr>
          <w:color w:val="000000" w:themeColor="text1"/>
          <w:lang w:val="en-GB"/>
        </w:rPr>
        <w:t xml:space="preserve">signs </w:t>
      </w:r>
      <w:r w:rsidR="00D745E4" w:rsidRPr="004974AC">
        <w:rPr>
          <w:color w:val="000000" w:themeColor="text1"/>
          <w:lang w:val="en-GB"/>
        </w:rPr>
        <w:t xml:space="preserve">that they </w:t>
      </w:r>
      <w:r w:rsidR="00893171" w:rsidRPr="004974AC">
        <w:rPr>
          <w:color w:val="000000" w:themeColor="text1"/>
          <w:lang w:val="en-GB"/>
        </w:rPr>
        <w:t>would leave education prematurely</w:t>
      </w:r>
      <w:r w:rsidR="00E058B0" w:rsidRPr="004974AC">
        <w:rPr>
          <w:color w:val="000000" w:themeColor="text1"/>
          <w:lang w:val="en-GB"/>
        </w:rPr>
        <w:t>. Fernández et al. (2010) point</w:t>
      </w:r>
      <w:r w:rsidR="00893171" w:rsidRPr="004974AC">
        <w:rPr>
          <w:color w:val="000000" w:themeColor="text1"/>
          <w:lang w:val="en-GB"/>
        </w:rPr>
        <w:t>ed</w:t>
      </w:r>
      <w:r w:rsidR="00E058B0" w:rsidRPr="004974AC">
        <w:rPr>
          <w:color w:val="000000" w:themeColor="text1"/>
          <w:lang w:val="en-GB"/>
        </w:rPr>
        <w:t xml:space="preserve"> out that problems relat</w:t>
      </w:r>
      <w:r w:rsidR="00893171" w:rsidRPr="004974AC">
        <w:rPr>
          <w:color w:val="000000" w:themeColor="text1"/>
          <w:lang w:val="en-GB"/>
        </w:rPr>
        <w:t>ed</w:t>
      </w:r>
      <w:r w:rsidR="00E058B0" w:rsidRPr="004974AC">
        <w:rPr>
          <w:color w:val="000000" w:themeColor="text1"/>
          <w:lang w:val="en-GB"/>
        </w:rPr>
        <w:t xml:space="preserve"> to school failure and dropout begin to emerge during the first stages of schooling. </w:t>
      </w:r>
      <w:r w:rsidR="00893171" w:rsidRPr="004974AC">
        <w:rPr>
          <w:color w:val="000000" w:themeColor="text1"/>
          <w:lang w:val="en-GB"/>
        </w:rPr>
        <w:t>However</w:t>
      </w:r>
      <w:r w:rsidR="00E058B0" w:rsidRPr="004974AC">
        <w:rPr>
          <w:color w:val="000000" w:themeColor="text1"/>
          <w:lang w:val="en-GB"/>
        </w:rPr>
        <w:t xml:space="preserve">, it is necessary to bear in mind that for the calculation of this indicator the schooling rates of different age cohorts (from </w:t>
      </w:r>
      <w:r w:rsidR="00672CB2" w:rsidRPr="004974AC">
        <w:rPr>
          <w:color w:val="000000" w:themeColor="text1"/>
          <w:lang w:val="en-GB"/>
        </w:rPr>
        <w:t>six</w:t>
      </w:r>
      <w:r w:rsidR="00E058B0" w:rsidRPr="004974AC">
        <w:rPr>
          <w:color w:val="000000" w:themeColor="text1"/>
          <w:lang w:val="en-GB"/>
        </w:rPr>
        <w:t xml:space="preserve"> to 24 years) </w:t>
      </w:r>
      <w:r w:rsidR="00893171" w:rsidRPr="004974AC">
        <w:rPr>
          <w:color w:val="000000" w:themeColor="text1"/>
          <w:lang w:val="en-GB"/>
        </w:rPr>
        <w:t xml:space="preserve">would </w:t>
      </w:r>
      <w:r w:rsidR="00893171" w:rsidRPr="00F96EBF">
        <w:rPr>
          <w:color w:val="000000" w:themeColor="text1"/>
          <w:lang w:val="en-GB"/>
        </w:rPr>
        <w:t xml:space="preserve">have to be </w:t>
      </w:r>
      <w:proofErr w:type="gramStart"/>
      <w:r w:rsidR="00E058B0" w:rsidRPr="00F96EBF">
        <w:rPr>
          <w:color w:val="000000" w:themeColor="text1"/>
          <w:lang w:val="en-GB"/>
        </w:rPr>
        <w:t>taken into account</w:t>
      </w:r>
      <w:proofErr w:type="gramEnd"/>
      <w:r w:rsidR="00E058B0" w:rsidRPr="00F96EBF">
        <w:rPr>
          <w:color w:val="000000" w:themeColor="text1"/>
          <w:lang w:val="en-GB"/>
        </w:rPr>
        <w:t xml:space="preserve">, </w:t>
      </w:r>
      <w:r w:rsidR="00893171" w:rsidRPr="00F96EBF">
        <w:rPr>
          <w:color w:val="000000" w:themeColor="text1"/>
          <w:lang w:val="en-GB"/>
        </w:rPr>
        <w:t xml:space="preserve">and </w:t>
      </w:r>
      <w:r w:rsidR="00E058B0" w:rsidRPr="00F96EBF">
        <w:rPr>
          <w:color w:val="000000" w:themeColor="text1"/>
          <w:lang w:val="en-GB"/>
        </w:rPr>
        <w:t>it is not possible to determine whether there is a differential effect at a given age. In this regard, numerous studies have shown the impact of preschool education on educational outcomes (Cebolla-Boado, Radl, &amp; Salazar, 2017).</w:t>
      </w:r>
    </w:p>
    <w:p w14:paraId="01F93980" w14:textId="77777777" w:rsidR="00E058B0" w:rsidRPr="00F96EBF" w:rsidRDefault="00E058B0" w:rsidP="006D08A5">
      <w:pPr>
        <w:rPr>
          <w:color w:val="000000" w:themeColor="text1"/>
          <w:sz w:val="22"/>
          <w:szCs w:val="22"/>
          <w:lang w:val="en-GB"/>
        </w:rPr>
      </w:pPr>
    </w:p>
    <w:p w14:paraId="511F89DD" w14:textId="17D53FFB" w:rsidR="00E058B0" w:rsidRDefault="00E058B0" w:rsidP="00777194">
      <w:pPr>
        <w:jc w:val="both"/>
        <w:rPr>
          <w:color w:val="000000" w:themeColor="text1"/>
          <w:lang w:val="en-GB"/>
        </w:rPr>
      </w:pPr>
      <w:r w:rsidRPr="00F96EBF">
        <w:rPr>
          <w:color w:val="000000" w:themeColor="text1"/>
          <w:lang w:val="en-GB"/>
        </w:rPr>
        <w:t xml:space="preserve">On the other hand, </w:t>
      </w:r>
      <w:r w:rsidRPr="00DA7B66">
        <w:rPr>
          <w:color w:val="000000" w:themeColor="text1"/>
          <w:lang w:val="en-GB"/>
        </w:rPr>
        <w:t>Prats et al. (2005</w:t>
      </w:r>
      <w:r w:rsidRPr="00F96EBF">
        <w:rPr>
          <w:color w:val="000000" w:themeColor="text1"/>
          <w:lang w:val="en-GB"/>
        </w:rPr>
        <w:t>) state</w:t>
      </w:r>
      <w:r w:rsidR="00893171" w:rsidRPr="00F96EBF">
        <w:rPr>
          <w:color w:val="000000" w:themeColor="text1"/>
          <w:lang w:val="en-GB"/>
        </w:rPr>
        <w:t>d</w:t>
      </w:r>
      <w:r w:rsidRPr="00F96EBF">
        <w:rPr>
          <w:color w:val="000000" w:themeColor="text1"/>
          <w:lang w:val="en-GB"/>
        </w:rPr>
        <w:t xml:space="preserve"> that there is a close relationship between school life expectancy and the sociocultural characteristics of the background of students. In addition, social class inequality and status have been </w:t>
      </w:r>
      <w:r w:rsidR="00893171" w:rsidRPr="00F96EBF">
        <w:rPr>
          <w:color w:val="000000" w:themeColor="text1"/>
          <w:lang w:val="en-GB"/>
        </w:rPr>
        <w:t xml:space="preserve">foregrounded in the literature </w:t>
      </w:r>
      <w:r w:rsidRPr="00F96EBF">
        <w:rPr>
          <w:color w:val="000000" w:themeColor="text1"/>
          <w:lang w:val="en-GB"/>
        </w:rPr>
        <w:t xml:space="preserve">as important variables when it comes to analysing schooling decisions and educational results from very early ages (Bernardi &amp; Cebolla, 2014a, 2014b). </w:t>
      </w:r>
    </w:p>
    <w:p w14:paraId="6B043C59" w14:textId="77777777" w:rsidR="00777194" w:rsidRPr="00F96EBF" w:rsidRDefault="00777194" w:rsidP="006D08A5">
      <w:pPr>
        <w:rPr>
          <w:color w:val="000000" w:themeColor="text1"/>
          <w:lang w:val="en-GB"/>
        </w:rPr>
      </w:pPr>
    </w:p>
    <w:p w14:paraId="41F8BD20" w14:textId="2E99E542" w:rsidR="00E058B0" w:rsidRPr="00777194" w:rsidRDefault="00777194" w:rsidP="006D08A5">
      <w:pPr>
        <w:pStyle w:val="Ttulo2"/>
        <w:spacing w:before="0" w:after="0"/>
        <w:jc w:val="left"/>
        <w:rPr>
          <w:rFonts w:cs="Times New Roman"/>
          <w:caps w:val="0"/>
          <w:sz w:val="28"/>
          <w:szCs w:val="28"/>
        </w:rPr>
      </w:pPr>
      <w:r w:rsidRPr="00777194">
        <w:rPr>
          <w:rFonts w:cs="Times New Roman"/>
          <w:caps w:val="0"/>
          <w:sz w:val="28"/>
          <w:szCs w:val="28"/>
        </w:rPr>
        <w:t xml:space="preserve">4.2 </w:t>
      </w:r>
      <w:r w:rsidR="00E058B0" w:rsidRPr="00777194">
        <w:rPr>
          <w:rFonts w:cs="Times New Roman"/>
          <w:caps w:val="0"/>
          <w:sz w:val="28"/>
          <w:szCs w:val="28"/>
        </w:rPr>
        <w:t>Suitability rates</w:t>
      </w:r>
    </w:p>
    <w:p w14:paraId="7E7C5D4C" w14:textId="0B839F67" w:rsidR="00E058B0" w:rsidRDefault="00E058B0" w:rsidP="007D0F84">
      <w:pPr>
        <w:jc w:val="both"/>
        <w:rPr>
          <w:color w:val="000000" w:themeColor="text1"/>
          <w:lang w:val="en-GB"/>
        </w:rPr>
      </w:pPr>
      <w:r w:rsidRPr="00DA7B66">
        <w:rPr>
          <w:color w:val="000000" w:themeColor="text1"/>
          <w:lang w:val="en-GB"/>
        </w:rPr>
        <w:t xml:space="preserve">Suitability rates represent the proportion of students enrolled </w:t>
      </w:r>
      <w:r w:rsidR="00234D21" w:rsidRPr="00DA7B66">
        <w:rPr>
          <w:color w:val="000000" w:themeColor="text1"/>
          <w:lang w:val="en-GB"/>
        </w:rPr>
        <w:t>at a</w:t>
      </w:r>
      <w:r w:rsidRPr="00DA7B66">
        <w:rPr>
          <w:color w:val="000000" w:themeColor="text1"/>
          <w:lang w:val="en-GB"/>
        </w:rPr>
        <w:t xml:space="preserve"> level of education that corresponds </w:t>
      </w:r>
      <w:r w:rsidR="00D4334C" w:rsidRPr="00DA7B66">
        <w:rPr>
          <w:color w:val="000000" w:themeColor="text1"/>
          <w:lang w:val="en-GB"/>
        </w:rPr>
        <w:t xml:space="preserve">theoretically </w:t>
      </w:r>
      <w:r w:rsidRPr="00DA7B66">
        <w:rPr>
          <w:color w:val="000000" w:themeColor="text1"/>
          <w:lang w:val="en-GB"/>
        </w:rPr>
        <w:t>to their age</w:t>
      </w:r>
      <w:r w:rsidR="00777194" w:rsidRPr="00DA7B66">
        <w:rPr>
          <w:color w:val="000000" w:themeColor="text1"/>
          <w:lang w:val="en-GB"/>
        </w:rPr>
        <w:t>.</w:t>
      </w:r>
      <w:r w:rsidR="00234D21" w:rsidRPr="00DA7B66">
        <w:rPr>
          <w:color w:val="000000" w:themeColor="text1"/>
          <w:lang w:val="en-GB"/>
        </w:rPr>
        <w:t xml:space="preserve"> </w:t>
      </w:r>
      <w:r w:rsidR="00777194" w:rsidRPr="00DA7B66">
        <w:rPr>
          <w:color w:val="000000" w:themeColor="text1"/>
          <w:lang w:val="en-GB"/>
        </w:rPr>
        <w:t>Suitability rates</w:t>
      </w:r>
      <w:r w:rsidR="00234D21" w:rsidRPr="00DA7B66">
        <w:rPr>
          <w:color w:val="000000" w:themeColor="text1"/>
          <w:lang w:val="en-GB"/>
        </w:rPr>
        <w:t xml:space="preserve"> are</w:t>
      </w:r>
      <w:r w:rsidRPr="00DA7B66">
        <w:rPr>
          <w:color w:val="000000" w:themeColor="text1"/>
          <w:lang w:val="en-GB"/>
        </w:rPr>
        <w:t xml:space="preserve"> closely linked to the grade repetition phenomenon. Table </w:t>
      </w:r>
      <w:r w:rsidR="00097E1E">
        <w:rPr>
          <w:color w:val="000000" w:themeColor="text1"/>
          <w:lang w:val="en-GB"/>
        </w:rPr>
        <w:t>4</w:t>
      </w:r>
      <w:r w:rsidR="00D52EF8" w:rsidRPr="00DA7B66">
        <w:rPr>
          <w:color w:val="000000" w:themeColor="text1"/>
          <w:lang w:val="en-GB"/>
        </w:rPr>
        <w:t xml:space="preserve"> </w:t>
      </w:r>
      <w:r w:rsidRPr="00DA7B66">
        <w:rPr>
          <w:color w:val="000000" w:themeColor="text1"/>
          <w:lang w:val="en-GB"/>
        </w:rPr>
        <w:t xml:space="preserve">shows </w:t>
      </w:r>
      <w:r w:rsidR="00234D21" w:rsidRPr="00DA7B66">
        <w:rPr>
          <w:color w:val="000000" w:themeColor="text1"/>
          <w:lang w:val="en-GB"/>
        </w:rPr>
        <w:t xml:space="preserve">the level of progress, </w:t>
      </w:r>
      <w:r w:rsidRPr="00DA7B66">
        <w:rPr>
          <w:color w:val="000000" w:themeColor="text1"/>
          <w:lang w:val="en-GB"/>
        </w:rPr>
        <w:t xml:space="preserve">and </w:t>
      </w:r>
      <w:r w:rsidR="00234D21" w:rsidRPr="00DA7B66">
        <w:rPr>
          <w:color w:val="000000" w:themeColor="text1"/>
          <w:lang w:val="en-GB"/>
        </w:rPr>
        <w:t>the r</w:t>
      </w:r>
      <w:r w:rsidRPr="00DA7B66">
        <w:rPr>
          <w:color w:val="000000" w:themeColor="text1"/>
          <w:lang w:val="en-GB"/>
        </w:rPr>
        <w:t>egional situation</w:t>
      </w:r>
      <w:r w:rsidR="008915AC" w:rsidRPr="00DA7B66">
        <w:rPr>
          <w:color w:val="000000" w:themeColor="text1"/>
          <w:lang w:val="en-GB"/>
        </w:rPr>
        <w:t>,</w:t>
      </w:r>
      <w:r w:rsidRPr="00DA7B66">
        <w:rPr>
          <w:color w:val="000000" w:themeColor="text1"/>
          <w:lang w:val="en-GB"/>
        </w:rPr>
        <w:t xml:space="preserve"> </w:t>
      </w:r>
      <w:proofErr w:type="gramStart"/>
      <w:r w:rsidR="00234D21" w:rsidRPr="00DA7B66">
        <w:rPr>
          <w:color w:val="000000" w:themeColor="text1"/>
          <w:lang w:val="en-GB"/>
        </w:rPr>
        <w:t>with regard</w:t>
      </w:r>
      <w:r w:rsidR="008915AC" w:rsidRPr="00DA7B66">
        <w:rPr>
          <w:color w:val="000000" w:themeColor="text1"/>
          <w:lang w:val="en-GB"/>
        </w:rPr>
        <w:t xml:space="preserve"> </w:t>
      </w:r>
      <w:r w:rsidR="00234D21" w:rsidRPr="00DA7B66">
        <w:rPr>
          <w:color w:val="000000" w:themeColor="text1"/>
          <w:lang w:val="en-GB"/>
        </w:rPr>
        <w:t>to</w:t>
      </w:r>
      <w:proofErr w:type="gramEnd"/>
      <w:r w:rsidR="00234D21" w:rsidRPr="00DA7B66">
        <w:rPr>
          <w:color w:val="000000" w:themeColor="text1"/>
          <w:lang w:val="en-GB"/>
        </w:rPr>
        <w:t xml:space="preserve"> </w:t>
      </w:r>
      <w:r w:rsidRPr="00DA7B66">
        <w:rPr>
          <w:color w:val="000000" w:themeColor="text1"/>
          <w:lang w:val="en-GB"/>
        </w:rPr>
        <w:t xml:space="preserve">suitability rates at </w:t>
      </w:r>
      <w:r w:rsidR="00234D21" w:rsidRPr="00DA7B66">
        <w:rPr>
          <w:color w:val="000000" w:themeColor="text1"/>
          <w:lang w:val="en-GB"/>
        </w:rPr>
        <w:t xml:space="preserve">the age of </w:t>
      </w:r>
      <w:r w:rsidRPr="00DA7B66">
        <w:rPr>
          <w:color w:val="000000" w:themeColor="text1"/>
          <w:lang w:val="en-GB"/>
        </w:rPr>
        <w:t xml:space="preserve">15, </w:t>
      </w:r>
      <w:r w:rsidR="00234D21" w:rsidRPr="00DA7B66">
        <w:rPr>
          <w:color w:val="000000" w:themeColor="text1"/>
          <w:lang w:val="en-GB"/>
        </w:rPr>
        <w:t xml:space="preserve">when </w:t>
      </w:r>
      <w:r w:rsidRPr="00DA7B66">
        <w:rPr>
          <w:color w:val="000000" w:themeColor="text1"/>
          <w:lang w:val="en-GB"/>
        </w:rPr>
        <w:t xml:space="preserve">students should </w:t>
      </w:r>
      <w:r w:rsidR="00234D21" w:rsidRPr="00DA7B66">
        <w:rPr>
          <w:color w:val="000000" w:themeColor="text1"/>
          <w:lang w:val="en-GB"/>
        </w:rPr>
        <w:t xml:space="preserve">theoretically </w:t>
      </w:r>
      <w:r w:rsidRPr="00DA7B66">
        <w:rPr>
          <w:color w:val="000000" w:themeColor="text1"/>
          <w:lang w:val="en-GB"/>
        </w:rPr>
        <w:t xml:space="preserve">be in the fourth year of compulsory </w:t>
      </w:r>
      <w:r w:rsidR="00234D21" w:rsidRPr="00DA7B66">
        <w:rPr>
          <w:color w:val="000000" w:themeColor="text1"/>
          <w:lang w:val="en-GB"/>
        </w:rPr>
        <w:t xml:space="preserve">secondary </w:t>
      </w:r>
      <w:r w:rsidRPr="00DA7B66">
        <w:rPr>
          <w:color w:val="000000" w:themeColor="text1"/>
          <w:lang w:val="en-GB"/>
        </w:rPr>
        <w:t xml:space="preserve">education (ESO). The suitability rate at 15 began to </w:t>
      </w:r>
      <w:r w:rsidR="008915AC" w:rsidRPr="00DA7B66">
        <w:rPr>
          <w:color w:val="000000" w:themeColor="text1"/>
          <w:lang w:val="en-GB"/>
        </w:rPr>
        <w:t xml:space="preserve">rise </w:t>
      </w:r>
      <w:r w:rsidRPr="00DA7B66">
        <w:rPr>
          <w:color w:val="000000" w:themeColor="text1"/>
          <w:lang w:val="en-GB"/>
        </w:rPr>
        <w:t>after the 2007</w:t>
      </w:r>
      <w:r w:rsidR="007D0F84" w:rsidRPr="00DA7B66">
        <w:rPr>
          <w:color w:val="000000" w:themeColor="text1"/>
          <w:lang w:val="en-GB"/>
        </w:rPr>
        <w:t>–20</w:t>
      </w:r>
      <w:r w:rsidRPr="00DA7B66">
        <w:rPr>
          <w:color w:val="000000" w:themeColor="text1"/>
          <w:lang w:val="en-GB"/>
        </w:rPr>
        <w:t>08 academic year</w:t>
      </w:r>
      <w:r w:rsidR="007D0F84" w:rsidRPr="00DA7B66">
        <w:rPr>
          <w:color w:val="000000" w:themeColor="text1"/>
          <w:lang w:val="en-GB"/>
        </w:rPr>
        <w:t>, reaching</w:t>
      </w:r>
      <w:r w:rsidRPr="00DA7B66">
        <w:rPr>
          <w:color w:val="000000" w:themeColor="text1"/>
          <w:lang w:val="en-GB"/>
        </w:rPr>
        <w:t xml:space="preserve"> 65.8% in 2014</w:t>
      </w:r>
      <w:r w:rsidR="007D0F84" w:rsidRPr="00DA7B66">
        <w:rPr>
          <w:color w:val="000000" w:themeColor="text1"/>
          <w:lang w:val="en-GB"/>
        </w:rPr>
        <w:t>–20</w:t>
      </w:r>
      <w:r w:rsidRPr="00DA7B66">
        <w:rPr>
          <w:color w:val="000000" w:themeColor="text1"/>
          <w:lang w:val="en-GB"/>
        </w:rPr>
        <w:t>15</w:t>
      </w:r>
      <w:r w:rsidR="008915AC" w:rsidRPr="00DA7B66">
        <w:rPr>
          <w:color w:val="000000" w:themeColor="text1"/>
          <w:lang w:val="en-GB"/>
        </w:rPr>
        <w:t xml:space="preserve">. However, this meant that </w:t>
      </w:r>
      <w:r w:rsidRPr="00DA7B66">
        <w:rPr>
          <w:color w:val="000000" w:themeColor="text1"/>
          <w:lang w:val="en-GB"/>
        </w:rPr>
        <w:t xml:space="preserve">34.2% of </w:t>
      </w:r>
      <w:r w:rsidR="008915AC" w:rsidRPr="00DA7B66">
        <w:rPr>
          <w:color w:val="000000" w:themeColor="text1"/>
          <w:lang w:val="en-GB"/>
        </w:rPr>
        <w:t xml:space="preserve">teenagers </w:t>
      </w:r>
      <w:r w:rsidRPr="00DA7B66">
        <w:rPr>
          <w:color w:val="000000" w:themeColor="text1"/>
          <w:lang w:val="en-GB"/>
        </w:rPr>
        <w:t xml:space="preserve">of that age were not enrolled </w:t>
      </w:r>
      <w:r w:rsidR="008915AC" w:rsidRPr="00DA7B66">
        <w:rPr>
          <w:color w:val="000000" w:themeColor="text1"/>
          <w:lang w:val="en-GB"/>
        </w:rPr>
        <w:t xml:space="preserve">at </w:t>
      </w:r>
      <w:r w:rsidRPr="00DA7B66">
        <w:rPr>
          <w:color w:val="000000" w:themeColor="text1"/>
          <w:lang w:val="en-GB"/>
        </w:rPr>
        <w:t>the level of education that theoretically corresponded to them.</w:t>
      </w:r>
      <w:r w:rsidR="008915AC" w:rsidRPr="00DA7B66">
        <w:rPr>
          <w:color w:val="000000" w:themeColor="text1"/>
          <w:lang w:val="en-GB"/>
        </w:rPr>
        <w:t xml:space="preserve"> </w:t>
      </w:r>
      <w:r w:rsidRPr="00DA7B66">
        <w:rPr>
          <w:color w:val="000000" w:themeColor="text1"/>
          <w:lang w:val="en-GB"/>
        </w:rPr>
        <w:t xml:space="preserve">Fernández et al. (2010) </w:t>
      </w:r>
      <w:r w:rsidR="007D0F84" w:rsidRPr="00DA7B66">
        <w:rPr>
          <w:color w:val="000000" w:themeColor="text1"/>
          <w:lang w:val="en-GB"/>
        </w:rPr>
        <w:t xml:space="preserve">proposed </w:t>
      </w:r>
      <w:r w:rsidR="008915AC" w:rsidRPr="00DA7B66">
        <w:rPr>
          <w:color w:val="000000" w:themeColor="text1"/>
          <w:lang w:val="en-GB"/>
        </w:rPr>
        <w:t>that this was</w:t>
      </w:r>
      <w:r w:rsidRPr="00DA7B66">
        <w:rPr>
          <w:color w:val="000000" w:themeColor="text1"/>
          <w:lang w:val="en-GB"/>
        </w:rPr>
        <w:t xml:space="preserve"> </w:t>
      </w:r>
      <w:r w:rsidR="008915AC" w:rsidRPr="00DA7B66">
        <w:rPr>
          <w:color w:val="000000" w:themeColor="text1"/>
          <w:lang w:val="en-GB"/>
        </w:rPr>
        <w:t>because</w:t>
      </w:r>
      <w:r w:rsidRPr="00DA7B66">
        <w:rPr>
          <w:color w:val="000000" w:themeColor="text1"/>
          <w:lang w:val="en-GB"/>
        </w:rPr>
        <w:t xml:space="preserve"> students accumulate a significant degree of repetition after primary education. It should also be pointed out that Spain </w:t>
      </w:r>
      <w:r w:rsidR="00AA51C2" w:rsidRPr="00DA7B66">
        <w:rPr>
          <w:color w:val="000000" w:themeColor="text1"/>
          <w:lang w:val="en-GB"/>
        </w:rPr>
        <w:t xml:space="preserve">was </w:t>
      </w:r>
      <w:r w:rsidRPr="00DA7B66">
        <w:rPr>
          <w:color w:val="000000" w:themeColor="text1"/>
          <w:lang w:val="en-GB"/>
        </w:rPr>
        <w:t xml:space="preserve">one of the countries with </w:t>
      </w:r>
      <w:r w:rsidR="007D0F84" w:rsidRPr="00DA7B66">
        <w:rPr>
          <w:color w:val="000000" w:themeColor="text1"/>
          <w:lang w:val="en-GB"/>
        </w:rPr>
        <w:t>the most</w:t>
      </w:r>
      <w:r w:rsidRPr="00DA7B66">
        <w:rPr>
          <w:color w:val="000000" w:themeColor="text1"/>
          <w:lang w:val="en-GB"/>
        </w:rPr>
        <w:t xml:space="preserve"> </w:t>
      </w:r>
      <w:r w:rsidRPr="00F96EBF">
        <w:rPr>
          <w:color w:val="000000" w:themeColor="text1"/>
          <w:lang w:val="en-GB"/>
        </w:rPr>
        <w:t>grade repetition (OECD, 2014).</w:t>
      </w:r>
    </w:p>
    <w:p w14:paraId="4C52ACC3" w14:textId="77777777" w:rsidR="007D0F84" w:rsidRPr="00F96EBF" w:rsidRDefault="007D0F84" w:rsidP="006D08A5">
      <w:pPr>
        <w:rPr>
          <w:color w:val="000000" w:themeColor="text1"/>
          <w:lang w:val="en-GB"/>
        </w:rPr>
      </w:pPr>
    </w:p>
    <w:p w14:paraId="0414234D" w14:textId="3A3596F6" w:rsidR="00E058B0" w:rsidRPr="005904B0" w:rsidRDefault="005904B0" w:rsidP="005904B0">
      <w:pPr>
        <w:keepNext/>
        <w:jc w:val="center"/>
        <w:rPr>
          <w:bCs/>
          <w:color w:val="000000" w:themeColor="text1"/>
          <w:lang w:val="en-GB"/>
        </w:rPr>
      </w:pPr>
      <w:r w:rsidRPr="005904B0">
        <w:rPr>
          <w:bCs/>
          <w:color w:val="000000" w:themeColor="text1"/>
          <w:lang w:val="en-GB"/>
        </w:rPr>
        <w:t>[</w:t>
      </w:r>
      <w:r w:rsidR="00E058B0" w:rsidRPr="005904B0">
        <w:rPr>
          <w:bCs/>
          <w:color w:val="000000" w:themeColor="text1"/>
          <w:lang w:val="en-GB"/>
        </w:rPr>
        <w:t xml:space="preserve">Insert Table </w:t>
      </w:r>
      <w:r w:rsidR="00097E1E">
        <w:rPr>
          <w:bCs/>
          <w:color w:val="000000" w:themeColor="text1"/>
          <w:lang w:val="en-GB"/>
        </w:rPr>
        <w:t>4</w:t>
      </w:r>
      <w:r w:rsidRPr="005904B0">
        <w:rPr>
          <w:bCs/>
          <w:color w:val="000000" w:themeColor="text1"/>
          <w:lang w:val="en-GB"/>
        </w:rPr>
        <w:t xml:space="preserve"> </w:t>
      </w:r>
      <w:r w:rsidR="00E058B0" w:rsidRPr="005904B0">
        <w:rPr>
          <w:bCs/>
          <w:color w:val="000000" w:themeColor="text1"/>
          <w:lang w:val="en-GB"/>
        </w:rPr>
        <w:t>here</w:t>
      </w:r>
      <w:r w:rsidRPr="005904B0">
        <w:rPr>
          <w:bCs/>
          <w:color w:val="000000" w:themeColor="text1"/>
          <w:lang w:val="en-GB"/>
        </w:rPr>
        <w:t>]</w:t>
      </w:r>
    </w:p>
    <w:p w14:paraId="139AE9A9" w14:textId="77777777" w:rsidR="00E058B0" w:rsidRPr="00F96EBF" w:rsidRDefault="00E058B0" w:rsidP="006D08A5">
      <w:pPr>
        <w:keepNext/>
        <w:rPr>
          <w:b/>
          <w:color w:val="000000" w:themeColor="text1"/>
          <w:lang w:val="en-GB"/>
        </w:rPr>
      </w:pPr>
    </w:p>
    <w:p w14:paraId="3902C413" w14:textId="7499C2BF" w:rsidR="00E058B0" w:rsidRDefault="00E058B0" w:rsidP="005904B0">
      <w:pPr>
        <w:jc w:val="both"/>
        <w:rPr>
          <w:color w:val="000000" w:themeColor="text1"/>
          <w:lang w:val="en-GB"/>
        </w:rPr>
      </w:pPr>
      <w:r w:rsidRPr="00F96EBF">
        <w:rPr>
          <w:color w:val="000000" w:themeColor="text1"/>
          <w:lang w:val="en-GB"/>
        </w:rPr>
        <w:t xml:space="preserve">The </w:t>
      </w:r>
      <w:r w:rsidR="008915AC" w:rsidRPr="00F96EBF">
        <w:rPr>
          <w:color w:val="000000" w:themeColor="text1"/>
          <w:lang w:val="en-GB"/>
        </w:rPr>
        <w:t>upward</w:t>
      </w:r>
      <w:r w:rsidRPr="00F96EBF">
        <w:rPr>
          <w:color w:val="000000" w:themeColor="text1"/>
          <w:lang w:val="en-GB"/>
        </w:rPr>
        <w:t xml:space="preserve"> trend </w:t>
      </w:r>
      <w:r w:rsidR="00AA51C2" w:rsidRPr="00F96EBF">
        <w:rPr>
          <w:color w:val="000000" w:themeColor="text1"/>
          <w:lang w:val="en-GB"/>
        </w:rPr>
        <w:t xml:space="preserve">could </w:t>
      </w:r>
      <w:r w:rsidRPr="00F96EBF">
        <w:rPr>
          <w:color w:val="000000" w:themeColor="text1"/>
          <w:lang w:val="en-GB"/>
        </w:rPr>
        <w:t xml:space="preserve">be partially attributed to the modification of expectations that students and society may have </w:t>
      </w:r>
      <w:r w:rsidR="008915AC" w:rsidRPr="00F96EBF">
        <w:rPr>
          <w:color w:val="000000" w:themeColor="text1"/>
          <w:lang w:val="en-GB"/>
        </w:rPr>
        <w:t xml:space="preserve">had </w:t>
      </w:r>
      <w:r w:rsidRPr="00F96EBF">
        <w:rPr>
          <w:color w:val="000000" w:themeColor="text1"/>
          <w:lang w:val="en-GB"/>
        </w:rPr>
        <w:t xml:space="preserve">about the utility of education for success in the labour market. In other words, as several studies </w:t>
      </w:r>
      <w:r w:rsidR="008915AC" w:rsidRPr="00F96EBF">
        <w:rPr>
          <w:color w:val="000000" w:themeColor="text1"/>
          <w:lang w:val="en-GB"/>
        </w:rPr>
        <w:t xml:space="preserve">have </w:t>
      </w:r>
      <w:r w:rsidRPr="00F96EBF">
        <w:rPr>
          <w:color w:val="000000" w:themeColor="text1"/>
          <w:lang w:val="en-GB"/>
        </w:rPr>
        <w:t>state</w:t>
      </w:r>
      <w:r w:rsidR="008915AC" w:rsidRPr="00F96EBF">
        <w:rPr>
          <w:color w:val="000000" w:themeColor="text1"/>
          <w:lang w:val="en-GB"/>
        </w:rPr>
        <w:t>d</w:t>
      </w:r>
      <w:r w:rsidRPr="00F96EBF">
        <w:rPr>
          <w:color w:val="000000" w:themeColor="text1"/>
          <w:lang w:val="en-GB"/>
        </w:rPr>
        <w:t xml:space="preserve"> (</w:t>
      </w:r>
      <w:proofErr w:type="spellStart"/>
      <w:r w:rsidRPr="00F96EBF">
        <w:rPr>
          <w:color w:val="000000" w:themeColor="text1"/>
          <w:lang w:val="en-GB"/>
        </w:rPr>
        <w:t>Carabaña</w:t>
      </w:r>
      <w:proofErr w:type="spellEnd"/>
      <w:r w:rsidRPr="00F96EBF">
        <w:rPr>
          <w:color w:val="000000" w:themeColor="text1"/>
          <w:lang w:val="en-GB"/>
        </w:rPr>
        <w:t xml:space="preserve">, 2017; Rodríguez &amp; Lacasa, 2017), it is plausible that during </w:t>
      </w:r>
      <w:r w:rsidR="008915AC" w:rsidRPr="00F96EBF">
        <w:rPr>
          <w:color w:val="000000" w:themeColor="text1"/>
          <w:lang w:val="en-GB"/>
        </w:rPr>
        <w:t xml:space="preserve">periods of </w:t>
      </w:r>
      <w:r w:rsidRPr="00F96EBF">
        <w:rPr>
          <w:color w:val="000000" w:themeColor="text1"/>
          <w:lang w:val="en-GB"/>
        </w:rPr>
        <w:t xml:space="preserve">economic prosperity the perceived economic return </w:t>
      </w:r>
      <w:r w:rsidR="00A0613C" w:rsidRPr="00F96EBF">
        <w:rPr>
          <w:color w:val="000000" w:themeColor="text1"/>
          <w:lang w:val="en-GB"/>
        </w:rPr>
        <w:t xml:space="preserve">from </w:t>
      </w:r>
      <w:r w:rsidRPr="00F96EBF">
        <w:rPr>
          <w:color w:val="000000" w:themeColor="text1"/>
          <w:lang w:val="en-GB"/>
        </w:rPr>
        <w:t xml:space="preserve">education was lower, because there was a great demand for </w:t>
      </w:r>
      <w:r w:rsidR="008915AC" w:rsidRPr="00F96EBF">
        <w:rPr>
          <w:color w:val="000000" w:themeColor="text1"/>
          <w:lang w:val="en-GB"/>
        </w:rPr>
        <w:t>less</w:t>
      </w:r>
      <w:r w:rsidRPr="00F96EBF">
        <w:rPr>
          <w:color w:val="000000" w:themeColor="text1"/>
          <w:lang w:val="en-GB"/>
        </w:rPr>
        <w:t xml:space="preserve">-qualified jobs. However, since the economic downturn began, the perception of the need to have a higher level of education and training may </w:t>
      </w:r>
      <w:r w:rsidRPr="00DA7B66">
        <w:rPr>
          <w:color w:val="000000" w:themeColor="text1"/>
          <w:lang w:val="en-GB"/>
        </w:rPr>
        <w:t xml:space="preserve">have increased. The regions whose students </w:t>
      </w:r>
      <w:r w:rsidR="0052768D" w:rsidRPr="00DA7B66">
        <w:rPr>
          <w:color w:val="000000" w:themeColor="text1"/>
          <w:lang w:val="en-GB"/>
        </w:rPr>
        <w:t>registered</w:t>
      </w:r>
      <w:r w:rsidRPr="00DA7B66">
        <w:rPr>
          <w:color w:val="000000" w:themeColor="text1"/>
          <w:lang w:val="en-GB"/>
        </w:rPr>
        <w:t xml:space="preserve"> the highest suitability rates for the </w:t>
      </w:r>
      <w:r w:rsidR="005904B0" w:rsidRPr="00DA7B66">
        <w:rPr>
          <w:color w:val="000000" w:themeColor="text1"/>
          <w:lang w:val="en-GB"/>
        </w:rPr>
        <w:t xml:space="preserve">2014–2015 </w:t>
      </w:r>
      <w:r w:rsidRPr="00DA7B66">
        <w:rPr>
          <w:color w:val="000000" w:themeColor="text1"/>
          <w:lang w:val="en-GB"/>
        </w:rPr>
        <w:t xml:space="preserve">academic year </w:t>
      </w:r>
      <w:r w:rsidR="007A7999" w:rsidRPr="00DA7B66">
        <w:rPr>
          <w:color w:val="000000" w:themeColor="text1"/>
          <w:lang w:val="en-GB"/>
        </w:rPr>
        <w:t xml:space="preserve">were </w:t>
      </w:r>
      <w:r w:rsidRPr="00DA7B66">
        <w:rPr>
          <w:color w:val="000000" w:themeColor="text1"/>
          <w:lang w:val="en-GB"/>
        </w:rPr>
        <w:t>Catalonia, the Basque Country</w:t>
      </w:r>
      <w:r w:rsidR="00AA51C2" w:rsidRPr="00DA7B66">
        <w:rPr>
          <w:color w:val="000000" w:themeColor="text1"/>
          <w:lang w:val="en-GB"/>
        </w:rPr>
        <w:t>,</w:t>
      </w:r>
      <w:r w:rsidRPr="00DA7B66">
        <w:rPr>
          <w:color w:val="000000" w:themeColor="text1"/>
          <w:lang w:val="en-GB"/>
        </w:rPr>
        <w:t xml:space="preserve"> and Navarre (76.6%, 74.1%</w:t>
      </w:r>
      <w:r w:rsidR="007A7999" w:rsidRPr="00DA7B66">
        <w:rPr>
          <w:color w:val="000000" w:themeColor="text1"/>
          <w:lang w:val="en-GB"/>
        </w:rPr>
        <w:t>,</w:t>
      </w:r>
      <w:r w:rsidRPr="00DA7B66">
        <w:rPr>
          <w:color w:val="000000" w:themeColor="text1"/>
          <w:lang w:val="en-GB"/>
        </w:rPr>
        <w:t xml:space="preserve"> and 72.6%, respectively). In contrast, Aragón present</w:t>
      </w:r>
      <w:r w:rsidR="007A7999" w:rsidRPr="00DA7B66">
        <w:rPr>
          <w:color w:val="000000" w:themeColor="text1"/>
          <w:lang w:val="en-GB"/>
        </w:rPr>
        <w:t>ed</w:t>
      </w:r>
      <w:r w:rsidRPr="00DA7B66">
        <w:rPr>
          <w:color w:val="000000" w:themeColor="text1"/>
          <w:lang w:val="en-GB"/>
        </w:rPr>
        <w:t xml:space="preserve"> the </w:t>
      </w:r>
      <w:r w:rsidR="005904B0" w:rsidRPr="00DA7B66">
        <w:rPr>
          <w:color w:val="000000" w:themeColor="text1"/>
          <w:lang w:val="en-GB"/>
        </w:rPr>
        <w:t>lowest rates</w:t>
      </w:r>
      <w:r w:rsidRPr="00DA7B66">
        <w:rPr>
          <w:color w:val="000000" w:themeColor="text1"/>
          <w:lang w:val="en-GB"/>
        </w:rPr>
        <w:t xml:space="preserve"> as well </w:t>
      </w:r>
      <w:r w:rsidRPr="00F96EBF">
        <w:rPr>
          <w:color w:val="000000" w:themeColor="text1"/>
          <w:lang w:val="en-GB"/>
        </w:rPr>
        <w:t xml:space="preserve">as the </w:t>
      </w:r>
      <w:r w:rsidR="007A7999" w:rsidRPr="00F96EBF">
        <w:rPr>
          <w:color w:val="000000" w:themeColor="text1"/>
          <w:lang w:val="en-GB"/>
        </w:rPr>
        <w:t>slowest progress</w:t>
      </w:r>
      <w:r w:rsidRPr="00F96EBF">
        <w:rPr>
          <w:color w:val="000000" w:themeColor="text1"/>
          <w:lang w:val="en-GB"/>
        </w:rPr>
        <w:t>.</w:t>
      </w:r>
    </w:p>
    <w:p w14:paraId="49D118D7" w14:textId="77777777" w:rsidR="005904B0" w:rsidRPr="00F96EBF" w:rsidRDefault="005904B0" w:rsidP="006D08A5">
      <w:pPr>
        <w:rPr>
          <w:color w:val="000000" w:themeColor="text1"/>
          <w:lang w:val="en-GB"/>
        </w:rPr>
      </w:pPr>
    </w:p>
    <w:p w14:paraId="3A28D1E9" w14:textId="1A57DF07" w:rsidR="00E058B0" w:rsidRPr="00DA7B66" w:rsidRDefault="00E058B0" w:rsidP="00E877E5">
      <w:pPr>
        <w:jc w:val="both"/>
        <w:rPr>
          <w:color w:val="000000" w:themeColor="text1"/>
          <w:lang w:val="en-GB"/>
        </w:rPr>
      </w:pPr>
      <w:r w:rsidRPr="00F96EBF">
        <w:rPr>
          <w:color w:val="000000" w:themeColor="text1"/>
          <w:lang w:val="en-GB"/>
        </w:rPr>
        <w:lastRenderedPageBreak/>
        <w:t xml:space="preserve">As can be seen in </w:t>
      </w:r>
      <w:r w:rsidR="00097E1E">
        <w:rPr>
          <w:color w:val="000000" w:themeColor="text1"/>
          <w:lang w:val="en-GB"/>
        </w:rPr>
        <w:t>Table</w:t>
      </w:r>
      <w:r w:rsidRPr="00F96EBF">
        <w:rPr>
          <w:color w:val="000000" w:themeColor="text1"/>
          <w:lang w:val="en-GB"/>
        </w:rPr>
        <w:t xml:space="preserve"> </w:t>
      </w:r>
      <w:r w:rsidR="0052768D" w:rsidRPr="00F96EBF">
        <w:rPr>
          <w:color w:val="000000" w:themeColor="text1"/>
          <w:lang w:val="en-GB"/>
        </w:rPr>
        <w:t>2</w:t>
      </w:r>
      <w:r w:rsidRPr="00F96EBF">
        <w:rPr>
          <w:color w:val="000000" w:themeColor="text1"/>
          <w:lang w:val="en-GB"/>
        </w:rPr>
        <w:t xml:space="preserve">, suitability rates also </w:t>
      </w:r>
      <w:r w:rsidR="004C530A" w:rsidRPr="00F96EBF">
        <w:rPr>
          <w:color w:val="000000" w:themeColor="text1"/>
          <w:lang w:val="en-GB"/>
        </w:rPr>
        <w:t xml:space="preserve">had </w:t>
      </w:r>
      <w:r w:rsidRPr="00F96EBF">
        <w:rPr>
          <w:color w:val="000000" w:themeColor="text1"/>
          <w:lang w:val="en-GB"/>
        </w:rPr>
        <w:t xml:space="preserve">a close and </w:t>
      </w:r>
      <w:r w:rsidR="004C530A" w:rsidRPr="00F96EBF">
        <w:rPr>
          <w:color w:val="000000" w:themeColor="text1"/>
          <w:lang w:val="en-GB"/>
        </w:rPr>
        <w:t xml:space="preserve">inverse </w:t>
      </w:r>
      <w:r w:rsidRPr="00F96EBF">
        <w:rPr>
          <w:color w:val="000000" w:themeColor="text1"/>
          <w:lang w:val="en-GB"/>
        </w:rPr>
        <w:t>relation</w:t>
      </w:r>
      <w:r w:rsidR="004C530A" w:rsidRPr="00F96EBF">
        <w:rPr>
          <w:color w:val="000000" w:themeColor="text1"/>
          <w:lang w:val="en-GB"/>
        </w:rPr>
        <w:t>ship</w:t>
      </w:r>
      <w:r w:rsidRPr="00F96EBF">
        <w:rPr>
          <w:color w:val="000000" w:themeColor="text1"/>
          <w:lang w:val="en-GB"/>
        </w:rPr>
        <w:t xml:space="preserve"> with </w:t>
      </w:r>
      <w:r w:rsidR="00BE46F9" w:rsidRPr="00F96EBF">
        <w:rPr>
          <w:color w:val="000000" w:themeColor="text1"/>
          <w:lang w:val="en-GB"/>
        </w:rPr>
        <w:t xml:space="preserve">early school </w:t>
      </w:r>
      <w:r w:rsidR="0056339F" w:rsidRPr="00DA7B66">
        <w:rPr>
          <w:color w:val="000000" w:themeColor="text1"/>
          <w:lang w:val="en-GB"/>
        </w:rPr>
        <w:t xml:space="preserve">leaving. </w:t>
      </w:r>
      <w:r w:rsidRPr="00DA7B66">
        <w:rPr>
          <w:color w:val="000000" w:themeColor="text1"/>
          <w:lang w:val="en-GB"/>
        </w:rPr>
        <w:t>Hence, regions with higher suitability rates tend</w:t>
      </w:r>
      <w:r w:rsidR="004C530A" w:rsidRPr="00DA7B66">
        <w:rPr>
          <w:color w:val="000000" w:themeColor="text1"/>
          <w:lang w:val="en-GB"/>
        </w:rPr>
        <w:t>ed</w:t>
      </w:r>
      <w:r w:rsidRPr="00DA7B66">
        <w:rPr>
          <w:color w:val="000000" w:themeColor="text1"/>
          <w:lang w:val="en-GB"/>
        </w:rPr>
        <w:t xml:space="preserve"> to have lower </w:t>
      </w:r>
      <w:r w:rsidR="00BE46F9" w:rsidRPr="00DA7B66">
        <w:rPr>
          <w:color w:val="000000" w:themeColor="text1"/>
          <w:lang w:val="en-GB"/>
        </w:rPr>
        <w:t xml:space="preserve">early school leaving </w:t>
      </w:r>
      <w:r w:rsidRPr="00DA7B66">
        <w:rPr>
          <w:color w:val="000000" w:themeColor="text1"/>
          <w:lang w:val="en-GB"/>
        </w:rPr>
        <w:t xml:space="preserve">rates. Similarly, goodness of fit, and therefore predictive power, </w:t>
      </w:r>
      <w:r w:rsidR="004C530A" w:rsidRPr="00DA7B66">
        <w:rPr>
          <w:color w:val="000000" w:themeColor="text1"/>
          <w:lang w:val="en-GB"/>
        </w:rPr>
        <w:t xml:space="preserve">was </w:t>
      </w:r>
      <w:r w:rsidRPr="00DA7B66">
        <w:rPr>
          <w:color w:val="000000" w:themeColor="text1"/>
          <w:lang w:val="en-GB"/>
        </w:rPr>
        <w:t xml:space="preserve">much greater </w:t>
      </w:r>
      <w:r w:rsidR="002255D8">
        <w:rPr>
          <w:color w:val="000000" w:themeColor="text1"/>
          <w:lang w:val="en-GB"/>
        </w:rPr>
        <w:t>for boys and men</w:t>
      </w:r>
      <w:r w:rsidR="008802B4" w:rsidRPr="00DA7B66">
        <w:rPr>
          <w:color w:val="000000" w:themeColor="text1"/>
          <w:lang w:val="en-GB"/>
        </w:rPr>
        <w:t>.</w:t>
      </w:r>
    </w:p>
    <w:p w14:paraId="6EF914F1" w14:textId="77777777" w:rsidR="00E058B0" w:rsidRPr="00F96EBF" w:rsidRDefault="00E058B0" w:rsidP="006D08A5">
      <w:pPr>
        <w:keepNext/>
        <w:keepLines/>
        <w:rPr>
          <w:color w:val="000000" w:themeColor="text1"/>
          <w:sz w:val="22"/>
          <w:szCs w:val="22"/>
          <w:lang w:val="en-GB"/>
        </w:rPr>
      </w:pPr>
    </w:p>
    <w:p w14:paraId="64A5413B" w14:textId="34AEDD5D" w:rsidR="00E058B0" w:rsidRDefault="00E058B0" w:rsidP="00E877E5">
      <w:pPr>
        <w:jc w:val="both"/>
        <w:rPr>
          <w:color w:val="000000" w:themeColor="text1"/>
          <w:lang w:val="en-GB"/>
        </w:rPr>
      </w:pPr>
      <w:r w:rsidRPr="00F96EBF">
        <w:rPr>
          <w:color w:val="000000" w:themeColor="text1"/>
          <w:lang w:val="en-GB"/>
        </w:rPr>
        <w:t xml:space="preserve">These </w:t>
      </w:r>
      <w:r w:rsidR="004C530A" w:rsidRPr="00F96EBF">
        <w:rPr>
          <w:color w:val="000000" w:themeColor="text1"/>
          <w:lang w:val="en-GB"/>
        </w:rPr>
        <w:t>findings</w:t>
      </w:r>
      <w:r w:rsidRPr="00F96EBF">
        <w:rPr>
          <w:color w:val="000000" w:themeColor="text1"/>
          <w:lang w:val="en-GB"/>
        </w:rPr>
        <w:t xml:space="preserve"> </w:t>
      </w:r>
      <w:r w:rsidRPr="00DA7B66">
        <w:rPr>
          <w:color w:val="000000" w:themeColor="text1"/>
          <w:lang w:val="en-GB"/>
        </w:rPr>
        <w:t xml:space="preserve">support </w:t>
      </w:r>
      <w:r w:rsidR="00E877E5" w:rsidRPr="00DA7B66">
        <w:rPr>
          <w:color w:val="000000" w:themeColor="text1"/>
          <w:lang w:val="en-GB"/>
        </w:rPr>
        <w:t xml:space="preserve">the </w:t>
      </w:r>
      <w:r w:rsidR="002255D8">
        <w:rPr>
          <w:color w:val="000000" w:themeColor="text1"/>
          <w:lang w:val="en-GB"/>
        </w:rPr>
        <w:t>results</w:t>
      </w:r>
      <w:r w:rsidR="00E877E5" w:rsidRPr="00DA7B66">
        <w:rPr>
          <w:color w:val="000000" w:themeColor="text1"/>
          <w:lang w:val="en-GB"/>
        </w:rPr>
        <w:t xml:space="preserve"> from </w:t>
      </w:r>
      <w:r w:rsidR="000829A2" w:rsidRPr="00DA7B66">
        <w:rPr>
          <w:color w:val="000000" w:themeColor="text1"/>
          <w:lang w:val="en-GB"/>
        </w:rPr>
        <w:t xml:space="preserve">previous studies </w:t>
      </w:r>
      <w:r w:rsidR="00E877E5" w:rsidRPr="00DA7B66">
        <w:rPr>
          <w:color w:val="000000" w:themeColor="text1"/>
          <w:lang w:val="en-GB"/>
        </w:rPr>
        <w:t xml:space="preserve">that have </w:t>
      </w:r>
      <w:r w:rsidR="004C530A" w:rsidRPr="00DA7B66">
        <w:rPr>
          <w:color w:val="000000" w:themeColor="text1"/>
          <w:lang w:val="en-GB"/>
        </w:rPr>
        <w:t>argu</w:t>
      </w:r>
      <w:r w:rsidR="00E877E5" w:rsidRPr="00DA7B66">
        <w:rPr>
          <w:color w:val="000000" w:themeColor="text1"/>
          <w:lang w:val="en-GB"/>
        </w:rPr>
        <w:t>ed</w:t>
      </w:r>
      <w:r w:rsidR="000829A2" w:rsidRPr="00DA7B66">
        <w:rPr>
          <w:color w:val="000000" w:themeColor="text1"/>
          <w:lang w:val="en-GB"/>
        </w:rPr>
        <w:t xml:space="preserve"> that disengagement and poor scholastic performan</w:t>
      </w:r>
      <w:r w:rsidR="00AE323B" w:rsidRPr="00DA7B66">
        <w:rPr>
          <w:color w:val="000000" w:themeColor="text1"/>
          <w:lang w:val="en-GB"/>
        </w:rPr>
        <w:t>ce</w:t>
      </w:r>
      <w:r w:rsidR="004C530A" w:rsidRPr="00DA7B66">
        <w:rPr>
          <w:color w:val="000000" w:themeColor="text1"/>
          <w:lang w:val="en-GB"/>
        </w:rPr>
        <w:t xml:space="preserve"> could predict </w:t>
      </w:r>
      <w:r w:rsidR="00BE46F9" w:rsidRPr="00DA7B66">
        <w:rPr>
          <w:color w:val="000000" w:themeColor="text1"/>
          <w:lang w:val="en-GB"/>
        </w:rPr>
        <w:t xml:space="preserve">early school </w:t>
      </w:r>
      <w:r w:rsidR="0056339F" w:rsidRPr="00DA7B66">
        <w:rPr>
          <w:color w:val="000000" w:themeColor="text1"/>
          <w:lang w:val="en-GB"/>
        </w:rPr>
        <w:t xml:space="preserve">leaving. </w:t>
      </w:r>
      <w:r w:rsidR="004C530A" w:rsidRPr="00DA7B66">
        <w:rPr>
          <w:color w:val="000000" w:themeColor="text1"/>
          <w:lang w:val="en-GB"/>
        </w:rPr>
        <w:t>Poor</w:t>
      </w:r>
      <w:r w:rsidRPr="00DA7B66">
        <w:rPr>
          <w:color w:val="000000" w:themeColor="text1"/>
          <w:lang w:val="en-GB"/>
        </w:rPr>
        <w:t xml:space="preserve"> academic results </w:t>
      </w:r>
      <w:r w:rsidR="004E7CC9" w:rsidRPr="00DA7B66">
        <w:rPr>
          <w:color w:val="000000" w:themeColor="text1"/>
          <w:lang w:val="en-GB"/>
        </w:rPr>
        <w:t xml:space="preserve">precede early school </w:t>
      </w:r>
      <w:proofErr w:type="gramStart"/>
      <w:r w:rsidR="004E7CC9" w:rsidRPr="00DA7B66">
        <w:rPr>
          <w:color w:val="000000" w:themeColor="text1"/>
          <w:lang w:val="en-GB"/>
        </w:rPr>
        <w:t>leaving</w:t>
      </w:r>
      <w:r w:rsidR="004C530A" w:rsidRPr="00DA7B66">
        <w:rPr>
          <w:color w:val="000000" w:themeColor="text1"/>
          <w:lang w:val="en-GB"/>
        </w:rPr>
        <w:t xml:space="preserve">, </w:t>
      </w:r>
      <w:r w:rsidRPr="00DA7B66">
        <w:rPr>
          <w:color w:val="000000" w:themeColor="text1"/>
          <w:lang w:val="en-GB"/>
        </w:rPr>
        <w:t>and</w:t>
      </w:r>
      <w:proofErr w:type="gramEnd"/>
      <w:r w:rsidRPr="00DA7B66">
        <w:rPr>
          <w:color w:val="000000" w:themeColor="text1"/>
          <w:lang w:val="en-GB"/>
        </w:rPr>
        <w:t xml:space="preserve"> </w:t>
      </w:r>
      <w:r w:rsidR="00DA7B66" w:rsidRPr="00DA7B66">
        <w:rPr>
          <w:color w:val="000000" w:themeColor="text1"/>
          <w:lang w:val="en-GB"/>
        </w:rPr>
        <w:t xml:space="preserve">are </w:t>
      </w:r>
      <w:r w:rsidR="004E7CC9" w:rsidRPr="00DA7B66">
        <w:rPr>
          <w:color w:val="000000" w:themeColor="text1"/>
          <w:lang w:val="en-GB"/>
        </w:rPr>
        <w:t>form</w:t>
      </w:r>
      <w:r w:rsidR="00DA7B66" w:rsidRPr="00DA7B66">
        <w:rPr>
          <w:color w:val="000000" w:themeColor="text1"/>
          <w:lang w:val="en-GB"/>
        </w:rPr>
        <w:t>ed</w:t>
      </w:r>
      <w:r w:rsidR="004E7CC9" w:rsidRPr="00DA7B66">
        <w:rPr>
          <w:color w:val="000000" w:themeColor="text1"/>
          <w:lang w:val="en-GB"/>
        </w:rPr>
        <w:t xml:space="preserve"> </w:t>
      </w:r>
      <w:r w:rsidRPr="00DA7B66">
        <w:rPr>
          <w:color w:val="000000" w:themeColor="text1"/>
          <w:lang w:val="en-GB"/>
        </w:rPr>
        <w:t xml:space="preserve">at an age at which the external labour market </w:t>
      </w:r>
      <w:r w:rsidR="004C530A" w:rsidRPr="00DA7B66">
        <w:rPr>
          <w:color w:val="000000" w:themeColor="text1"/>
          <w:lang w:val="en-GB"/>
        </w:rPr>
        <w:t xml:space="preserve">conditions </w:t>
      </w:r>
      <w:r w:rsidRPr="00DA7B66">
        <w:rPr>
          <w:color w:val="000000" w:themeColor="text1"/>
          <w:lang w:val="en-GB"/>
        </w:rPr>
        <w:t xml:space="preserve">may </w:t>
      </w:r>
      <w:r w:rsidR="00D4334C" w:rsidRPr="00DA7B66">
        <w:rPr>
          <w:color w:val="000000" w:themeColor="text1"/>
          <w:lang w:val="en-GB"/>
        </w:rPr>
        <w:t>not have been favourable</w:t>
      </w:r>
      <w:r w:rsidRPr="00DA7B66">
        <w:rPr>
          <w:color w:val="000000" w:themeColor="text1"/>
          <w:lang w:val="en-GB"/>
        </w:rPr>
        <w:t xml:space="preserve">. Furthermore, </w:t>
      </w:r>
      <w:r w:rsidR="00D4334C" w:rsidRPr="00DA7B66">
        <w:rPr>
          <w:color w:val="000000" w:themeColor="text1"/>
          <w:lang w:val="en-GB"/>
        </w:rPr>
        <w:t xml:space="preserve">a </w:t>
      </w:r>
      <w:r w:rsidRPr="00DA7B66">
        <w:rPr>
          <w:color w:val="000000" w:themeColor="text1"/>
          <w:lang w:val="en-GB"/>
        </w:rPr>
        <w:t xml:space="preserve">PISA study </w:t>
      </w:r>
      <w:r w:rsidR="004E7CC9" w:rsidRPr="00DA7B66">
        <w:rPr>
          <w:color w:val="000000" w:themeColor="text1"/>
          <w:lang w:val="en-GB"/>
        </w:rPr>
        <w:t xml:space="preserve">found </w:t>
      </w:r>
      <w:r w:rsidRPr="00DA7B66">
        <w:rPr>
          <w:color w:val="000000" w:themeColor="text1"/>
          <w:lang w:val="en-GB"/>
        </w:rPr>
        <w:t xml:space="preserve">that grade repetition is a costly and ineffective practice </w:t>
      </w:r>
      <w:r w:rsidR="00D4334C" w:rsidRPr="00DA7B66">
        <w:rPr>
          <w:color w:val="000000" w:themeColor="text1"/>
          <w:lang w:val="en-GB"/>
        </w:rPr>
        <w:t xml:space="preserve">for </w:t>
      </w:r>
      <w:r w:rsidRPr="00DA7B66">
        <w:rPr>
          <w:color w:val="000000" w:themeColor="text1"/>
          <w:lang w:val="en-GB"/>
        </w:rPr>
        <w:t>combating school failure and dropout (OECD, 2014)</w:t>
      </w:r>
      <w:r w:rsidR="004E7CC9" w:rsidRPr="00DA7B66">
        <w:rPr>
          <w:color w:val="000000" w:themeColor="text1"/>
          <w:lang w:val="en-GB"/>
        </w:rPr>
        <w:t>;</w:t>
      </w:r>
      <w:r w:rsidRPr="00DA7B66">
        <w:rPr>
          <w:color w:val="000000" w:themeColor="text1"/>
          <w:lang w:val="en-GB"/>
        </w:rPr>
        <w:t xml:space="preserve"> mainly because a high degree of grade repetition can affect negatively the subsequent educational </w:t>
      </w:r>
      <w:r w:rsidRPr="00F96EBF">
        <w:rPr>
          <w:color w:val="000000" w:themeColor="text1"/>
          <w:lang w:val="en-GB"/>
        </w:rPr>
        <w:t>results of students (García-Pérez, Hidalgo-Hidalgo, &amp; Robles-Zurita, 2014).</w:t>
      </w:r>
    </w:p>
    <w:p w14:paraId="315543E6" w14:textId="77777777" w:rsidR="00E877E5" w:rsidRPr="00F96EBF" w:rsidRDefault="00E877E5" w:rsidP="006D08A5">
      <w:pPr>
        <w:rPr>
          <w:color w:val="000000" w:themeColor="text1"/>
          <w:lang w:val="en-GB"/>
        </w:rPr>
      </w:pPr>
    </w:p>
    <w:p w14:paraId="32C472FD" w14:textId="51CE3329" w:rsidR="00E058B0" w:rsidRPr="004E7CC9" w:rsidRDefault="004E7CC9" w:rsidP="006D08A5">
      <w:pPr>
        <w:pStyle w:val="Ttulo2"/>
        <w:spacing w:before="0" w:after="0"/>
        <w:jc w:val="left"/>
        <w:rPr>
          <w:rFonts w:cs="Times New Roman"/>
          <w:caps w:val="0"/>
          <w:sz w:val="28"/>
          <w:szCs w:val="28"/>
        </w:rPr>
      </w:pPr>
      <w:r w:rsidRPr="004E7CC9">
        <w:rPr>
          <w:rFonts w:cs="Times New Roman"/>
          <w:caps w:val="0"/>
          <w:sz w:val="28"/>
          <w:szCs w:val="28"/>
        </w:rPr>
        <w:t xml:space="preserve">4.3 </w:t>
      </w:r>
      <w:r w:rsidR="00E058B0" w:rsidRPr="004E7CC9">
        <w:rPr>
          <w:rFonts w:cs="Times New Roman"/>
          <w:caps w:val="0"/>
          <w:sz w:val="28"/>
          <w:szCs w:val="28"/>
        </w:rPr>
        <w:t>Graduation rates</w:t>
      </w:r>
    </w:p>
    <w:p w14:paraId="357C25BC" w14:textId="46AEC6DC" w:rsidR="00E058B0" w:rsidRDefault="00E058B0" w:rsidP="008C61BD">
      <w:pPr>
        <w:jc w:val="both"/>
        <w:rPr>
          <w:color w:val="000000" w:themeColor="text1"/>
          <w:lang w:val="en-GB"/>
        </w:rPr>
      </w:pPr>
      <w:r w:rsidRPr="00F96EBF">
        <w:rPr>
          <w:color w:val="000000" w:themeColor="text1"/>
          <w:lang w:val="en-GB"/>
        </w:rPr>
        <w:t xml:space="preserve">Graduation rates </w:t>
      </w:r>
      <w:r w:rsidR="0015196F" w:rsidRPr="00F96EBF">
        <w:rPr>
          <w:color w:val="000000" w:themeColor="text1"/>
          <w:lang w:val="en-GB"/>
        </w:rPr>
        <w:t xml:space="preserve">provide </w:t>
      </w:r>
      <w:r w:rsidRPr="00F96EBF">
        <w:rPr>
          <w:color w:val="000000" w:themeColor="text1"/>
          <w:lang w:val="en-GB"/>
        </w:rPr>
        <w:t xml:space="preserve">evidence </w:t>
      </w:r>
      <w:r w:rsidR="0015196F" w:rsidRPr="00F96EBF">
        <w:rPr>
          <w:color w:val="000000" w:themeColor="text1"/>
          <w:lang w:val="en-GB"/>
        </w:rPr>
        <w:t xml:space="preserve">of </w:t>
      </w:r>
      <w:r w:rsidRPr="00F96EBF">
        <w:rPr>
          <w:color w:val="000000" w:themeColor="text1"/>
          <w:lang w:val="en-GB"/>
        </w:rPr>
        <w:t xml:space="preserve">the degree of educational success. In this case, the gross </w:t>
      </w:r>
      <w:r w:rsidRPr="00DA7B66">
        <w:rPr>
          <w:color w:val="000000" w:themeColor="text1"/>
          <w:lang w:val="en-GB"/>
        </w:rPr>
        <w:t xml:space="preserve">graduation rate in compulsory </w:t>
      </w:r>
      <w:r w:rsidR="006F1668" w:rsidRPr="00DA7B66">
        <w:rPr>
          <w:color w:val="000000" w:themeColor="text1"/>
          <w:lang w:val="en-GB"/>
        </w:rPr>
        <w:t xml:space="preserve">secondary </w:t>
      </w:r>
      <w:r w:rsidRPr="00DA7B66">
        <w:rPr>
          <w:color w:val="000000" w:themeColor="text1"/>
          <w:lang w:val="en-GB"/>
        </w:rPr>
        <w:t xml:space="preserve">education (ESO) </w:t>
      </w:r>
      <w:r w:rsidR="0015196F" w:rsidRPr="00DA7B66">
        <w:rPr>
          <w:color w:val="000000" w:themeColor="text1"/>
          <w:lang w:val="en-GB"/>
        </w:rPr>
        <w:t xml:space="preserve">was </w:t>
      </w:r>
      <w:r w:rsidRPr="00DA7B66">
        <w:rPr>
          <w:color w:val="000000" w:themeColor="text1"/>
          <w:lang w:val="en-GB"/>
        </w:rPr>
        <w:t xml:space="preserve">used. This </w:t>
      </w:r>
      <w:r w:rsidR="0015196F" w:rsidRPr="00DA7B66">
        <w:rPr>
          <w:color w:val="000000" w:themeColor="text1"/>
          <w:lang w:val="en-GB"/>
        </w:rPr>
        <w:t xml:space="preserve">is </w:t>
      </w:r>
      <w:r w:rsidRPr="00DA7B66">
        <w:rPr>
          <w:color w:val="000000" w:themeColor="text1"/>
          <w:lang w:val="en-GB"/>
        </w:rPr>
        <w:t>the proportion of people that complete this educational stage, regardless of age, compared to the tota</w:t>
      </w:r>
      <w:r w:rsidR="004E7CC9" w:rsidRPr="00DA7B66">
        <w:rPr>
          <w:color w:val="000000" w:themeColor="text1"/>
          <w:lang w:val="en-GB"/>
        </w:rPr>
        <w:t xml:space="preserve">l </w:t>
      </w:r>
      <w:r w:rsidRPr="00DA7B66">
        <w:rPr>
          <w:color w:val="000000" w:themeColor="text1"/>
          <w:lang w:val="en-GB"/>
        </w:rPr>
        <w:t>population</w:t>
      </w:r>
      <w:r w:rsidR="004E7CC9" w:rsidRPr="00DA7B66">
        <w:rPr>
          <w:color w:val="000000" w:themeColor="text1"/>
          <w:lang w:val="en-GB"/>
        </w:rPr>
        <w:t xml:space="preserve"> aged fifteen years</w:t>
      </w:r>
      <w:r w:rsidRPr="00DA7B66">
        <w:rPr>
          <w:color w:val="000000" w:themeColor="text1"/>
          <w:lang w:val="en-GB"/>
        </w:rPr>
        <w:t>, which is the theoretical age at which the ESO should be completed</w:t>
      </w:r>
      <w:r w:rsidR="00EA0C40" w:rsidRPr="00DA7B66">
        <w:rPr>
          <w:color w:val="000000" w:themeColor="text1"/>
          <w:lang w:val="en-GB"/>
        </w:rPr>
        <w:t xml:space="preserve">. Table </w:t>
      </w:r>
      <w:r w:rsidR="002255D8">
        <w:rPr>
          <w:color w:val="000000" w:themeColor="text1"/>
          <w:lang w:val="en-GB"/>
        </w:rPr>
        <w:t>5</w:t>
      </w:r>
      <w:r w:rsidR="004E7CC9" w:rsidRPr="00DA7B66">
        <w:rPr>
          <w:color w:val="000000" w:themeColor="text1"/>
          <w:lang w:val="en-GB"/>
        </w:rPr>
        <w:t xml:space="preserve"> </w:t>
      </w:r>
      <w:r w:rsidRPr="00DA7B66">
        <w:rPr>
          <w:color w:val="000000" w:themeColor="text1"/>
          <w:lang w:val="en-GB"/>
        </w:rPr>
        <w:t xml:space="preserve">shows that the Basque Country (84.7%) and Asturias (86.2%) </w:t>
      </w:r>
      <w:r w:rsidR="0015196F" w:rsidRPr="00DA7B66">
        <w:rPr>
          <w:color w:val="000000" w:themeColor="text1"/>
          <w:lang w:val="en-GB"/>
        </w:rPr>
        <w:t xml:space="preserve">were </w:t>
      </w:r>
      <w:r w:rsidRPr="00DA7B66">
        <w:rPr>
          <w:color w:val="000000" w:themeColor="text1"/>
          <w:lang w:val="en-GB"/>
        </w:rPr>
        <w:t xml:space="preserve">the regions with the best results for the </w:t>
      </w:r>
      <w:r w:rsidR="004E7CC9" w:rsidRPr="00DA7B66">
        <w:rPr>
          <w:color w:val="000000" w:themeColor="text1"/>
          <w:lang w:val="en-GB"/>
        </w:rPr>
        <w:t xml:space="preserve">2014–2015 </w:t>
      </w:r>
      <w:r w:rsidRPr="00DA7B66">
        <w:rPr>
          <w:color w:val="000000" w:themeColor="text1"/>
          <w:lang w:val="en-GB"/>
        </w:rPr>
        <w:t>academic year. Extremadura increased its suitability rate by 1.55% per year. Valenci</w:t>
      </w:r>
      <w:r w:rsidR="0015196F" w:rsidRPr="00DA7B66">
        <w:rPr>
          <w:color w:val="000000" w:themeColor="text1"/>
          <w:lang w:val="en-GB"/>
        </w:rPr>
        <w:t>a</w:t>
      </w:r>
      <w:r w:rsidRPr="00DA7B66">
        <w:rPr>
          <w:color w:val="000000" w:themeColor="text1"/>
          <w:lang w:val="en-GB"/>
        </w:rPr>
        <w:t xml:space="preserve"> ha</w:t>
      </w:r>
      <w:r w:rsidR="0015196F" w:rsidRPr="00DA7B66">
        <w:rPr>
          <w:color w:val="000000" w:themeColor="text1"/>
          <w:lang w:val="en-GB"/>
        </w:rPr>
        <w:t>d</w:t>
      </w:r>
      <w:r w:rsidRPr="00DA7B66">
        <w:rPr>
          <w:color w:val="000000" w:themeColor="text1"/>
          <w:lang w:val="en-GB"/>
        </w:rPr>
        <w:t xml:space="preserve"> a much lower graduation rate </w:t>
      </w:r>
      <w:r w:rsidR="0015196F" w:rsidRPr="00DA7B66">
        <w:rPr>
          <w:color w:val="000000" w:themeColor="text1"/>
          <w:lang w:val="en-GB"/>
        </w:rPr>
        <w:t xml:space="preserve">for </w:t>
      </w:r>
      <w:r w:rsidR="00E22B3B" w:rsidRPr="00DA7B66">
        <w:rPr>
          <w:color w:val="000000" w:themeColor="text1"/>
          <w:lang w:val="en-GB"/>
        </w:rPr>
        <w:t>students at the age of fifteen</w:t>
      </w:r>
      <w:r w:rsidRPr="00DA7B66">
        <w:rPr>
          <w:color w:val="000000" w:themeColor="text1"/>
          <w:lang w:val="en-GB"/>
        </w:rPr>
        <w:t xml:space="preserve"> (69.3% compared to the Spanish average of 77.6%). This may indicate a different response in </w:t>
      </w:r>
      <w:r w:rsidRPr="00F96EBF">
        <w:rPr>
          <w:color w:val="000000" w:themeColor="text1"/>
          <w:lang w:val="en-GB"/>
        </w:rPr>
        <w:t>terms of expectations in relation to the labour market.</w:t>
      </w:r>
    </w:p>
    <w:p w14:paraId="215CB480" w14:textId="77777777" w:rsidR="008C61BD" w:rsidRPr="00F96EBF" w:rsidRDefault="008C61BD" w:rsidP="006D08A5">
      <w:pPr>
        <w:rPr>
          <w:color w:val="000000" w:themeColor="text1"/>
          <w:lang w:val="en-GB"/>
        </w:rPr>
      </w:pPr>
    </w:p>
    <w:p w14:paraId="76C05E42" w14:textId="092C9E30" w:rsidR="00E058B0" w:rsidRPr="008C61BD" w:rsidRDefault="008C61BD" w:rsidP="008C61BD">
      <w:pPr>
        <w:keepNext/>
        <w:jc w:val="center"/>
        <w:rPr>
          <w:bCs/>
          <w:color w:val="000000" w:themeColor="text1"/>
          <w:lang w:val="en-GB"/>
        </w:rPr>
      </w:pPr>
      <w:r w:rsidRPr="008C61BD">
        <w:rPr>
          <w:bCs/>
          <w:color w:val="000000" w:themeColor="text1"/>
          <w:lang w:val="en-GB"/>
        </w:rPr>
        <w:t>[</w:t>
      </w:r>
      <w:r w:rsidR="00EA0C40" w:rsidRPr="008C61BD">
        <w:rPr>
          <w:bCs/>
          <w:color w:val="000000" w:themeColor="text1"/>
          <w:lang w:val="en-GB"/>
        </w:rPr>
        <w:t>Insert Table</w:t>
      </w:r>
      <w:r w:rsidR="002255D8">
        <w:rPr>
          <w:bCs/>
          <w:color w:val="000000" w:themeColor="text1"/>
          <w:lang w:val="en-GB"/>
        </w:rPr>
        <w:t xml:space="preserve"> 5</w:t>
      </w:r>
      <w:r w:rsidR="00E058B0" w:rsidRPr="008C61BD">
        <w:rPr>
          <w:bCs/>
          <w:color w:val="000000" w:themeColor="text1"/>
          <w:lang w:val="en-GB"/>
        </w:rPr>
        <w:t xml:space="preserve"> here</w:t>
      </w:r>
      <w:r w:rsidRPr="008C61BD">
        <w:rPr>
          <w:bCs/>
          <w:color w:val="000000" w:themeColor="text1"/>
          <w:lang w:val="en-GB"/>
        </w:rPr>
        <w:t>]</w:t>
      </w:r>
    </w:p>
    <w:p w14:paraId="4CECF653" w14:textId="77777777" w:rsidR="00E058B0" w:rsidRPr="00F96EBF" w:rsidRDefault="00E058B0" w:rsidP="006D08A5">
      <w:pPr>
        <w:keepNext/>
        <w:rPr>
          <w:b/>
          <w:color w:val="000000" w:themeColor="text1"/>
          <w:lang w:val="en-GB"/>
        </w:rPr>
      </w:pPr>
    </w:p>
    <w:p w14:paraId="39B29ACE" w14:textId="2E121287" w:rsidR="00E058B0" w:rsidRDefault="002255D8" w:rsidP="007E2FBD">
      <w:pPr>
        <w:jc w:val="both"/>
        <w:rPr>
          <w:color w:val="000000" w:themeColor="text1"/>
          <w:lang w:val="en-GB"/>
        </w:rPr>
      </w:pPr>
      <w:r>
        <w:rPr>
          <w:color w:val="000000" w:themeColor="text1"/>
          <w:lang w:val="en-GB"/>
        </w:rPr>
        <w:t>T</w:t>
      </w:r>
      <w:r w:rsidR="00E058B0" w:rsidRPr="00DA7B66">
        <w:rPr>
          <w:color w:val="000000" w:themeColor="text1"/>
          <w:lang w:val="en-GB"/>
        </w:rPr>
        <w:t>he relation</w:t>
      </w:r>
      <w:r w:rsidR="003F452E" w:rsidRPr="00DA7B66">
        <w:rPr>
          <w:color w:val="000000" w:themeColor="text1"/>
          <w:lang w:val="en-GB"/>
        </w:rPr>
        <w:t>s</w:t>
      </w:r>
      <w:r w:rsidR="006F1668" w:rsidRPr="00DA7B66">
        <w:rPr>
          <w:color w:val="000000" w:themeColor="text1"/>
          <w:lang w:val="en-GB"/>
        </w:rPr>
        <w:t>hip</w:t>
      </w:r>
      <w:r w:rsidR="00E058B0" w:rsidRPr="00DA7B66">
        <w:rPr>
          <w:color w:val="000000" w:themeColor="text1"/>
          <w:lang w:val="en-GB"/>
        </w:rPr>
        <w:t xml:space="preserve"> between the graduation rate in </w:t>
      </w:r>
      <w:r w:rsidR="007E2FBD" w:rsidRPr="00DA7B66">
        <w:rPr>
          <w:color w:val="000000" w:themeColor="text1"/>
          <w:lang w:val="en-GB"/>
        </w:rPr>
        <w:t xml:space="preserve">secondary education (ESO) </w:t>
      </w:r>
      <w:r w:rsidR="00E058B0" w:rsidRPr="00DA7B66">
        <w:rPr>
          <w:color w:val="000000" w:themeColor="text1"/>
          <w:lang w:val="en-GB"/>
        </w:rPr>
        <w:t xml:space="preserve">and </w:t>
      </w:r>
      <w:r w:rsidR="00BE46F9" w:rsidRPr="00DA7B66">
        <w:rPr>
          <w:color w:val="000000" w:themeColor="text1"/>
          <w:lang w:val="en-GB"/>
        </w:rPr>
        <w:t xml:space="preserve">early school </w:t>
      </w:r>
      <w:r>
        <w:rPr>
          <w:color w:val="000000" w:themeColor="text1"/>
          <w:lang w:val="en-GB"/>
        </w:rPr>
        <w:t xml:space="preserve">leaving </w:t>
      </w:r>
      <w:proofErr w:type="gramStart"/>
      <w:r>
        <w:rPr>
          <w:color w:val="000000" w:themeColor="text1"/>
          <w:lang w:val="en-GB"/>
        </w:rPr>
        <w:t>evidences</w:t>
      </w:r>
      <w:proofErr w:type="gramEnd"/>
      <w:r>
        <w:rPr>
          <w:color w:val="000000" w:themeColor="text1"/>
          <w:lang w:val="en-GB"/>
        </w:rPr>
        <w:t xml:space="preserve"> a negative</w:t>
      </w:r>
      <w:r w:rsidR="00E058B0" w:rsidRPr="00DA7B66">
        <w:rPr>
          <w:color w:val="000000" w:themeColor="text1"/>
          <w:lang w:val="en-GB"/>
        </w:rPr>
        <w:t xml:space="preserve"> association, with regions with the best graduation results in </w:t>
      </w:r>
      <w:r w:rsidR="007E2FBD" w:rsidRPr="00DA7B66">
        <w:rPr>
          <w:color w:val="000000" w:themeColor="text1"/>
          <w:lang w:val="en-GB"/>
        </w:rPr>
        <w:t xml:space="preserve">secondary education </w:t>
      </w:r>
      <w:r w:rsidR="00E058B0" w:rsidRPr="00DA7B66">
        <w:rPr>
          <w:color w:val="000000" w:themeColor="text1"/>
          <w:lang w:val="en-GB"/>
        </w:rPr>
        <w:t xml:space="preserve">tending to have lower </w:t>
      </w:r>
      <w:r w:rsidR="00BE46F9" w:rsidRPr="00DA7B66">
        <w:rPr>
          <w:color w:val="000000" w:themeColor="text1"/>
          <w:lang w:val="en-GB"/>
        </w:rPr>
        <w:t xml:space="preserve">early school leaving </w:t>
      </w:r>
      <w:r w:rsidR="00E058B0" w:rsidRPr="00DA7B66">
        <w:rPr>
          <w:color w:val="000000" w:themeColor="text1"/>
          <w:lang w:val="en-GB"/>
        </w:rPr>
        <w:t xml:space="preserve">rates. Goodness of fit </w:t>
      </w:r>
      <w:r w:rsidR="006F1668" w:rsidRPr="00DA7B66">
        <w:rPr>
          <w:color w:val="000000" w:themeColor="text1"/>
          <w:lang w:val="en-GB"/>
        </w:rPr>
        <w:t xml:space="preserve">was </w:t>
      </w:r>
      <w:r w:rsidR="00E058B0" w:rsidRPr="00DA7B66">
        <w:rPr>
          <w:color w:val="000000" w:themeColor="text1"/>
          <w:lang w:val="en-GB"/>
        </w:rPr>
        <w:t xml:space="preserve">slightly lower than </w:t>
      </w:r>
      <w:r w:rsidR="007E2FBD" w:rsidRPr="00DA7B66">
        <w:rPr>
          <w:color w:val="000000" w:themeColor="text1"/>
          <w:lang w:val="en-GB"/>
        </w:rPr>
        <w:t xml:space="preserve">for </w:t>
      </w:r>
      <w:r w:rsidR="00E058B0" w:rsidRPr="00DA7B66">
        <w:rPr>
          <w:color w:val="000000" w:themeColor="text1"/>
          <w:lang w:val="en-GB"/>
        </w:rPr>
        <w:t xml:space="preserve">other educational </w:t>
      </w:r>
      <w:proofErr w:type="gramStart"/>
      <w:r w:rsidR="00E058B0" w:rsidRPr="00DA7B66">
        <w:rPr>
          <w:color w:val="000000" w:themeColor="text1"/>
          <w:lang w:val="en-GB"/>
        </w:rPr>
        <w:t>phenomena</w:t>
      </w:r>
      <w:proofErr w:type="gramEnd"/>
      <w:r w:rsidR="00E058B0" w:rsidRPr="00DA7B66">
        <w:rPr>
          <w:color w:val="000000" w:themeColor="text1"/>
          <w:lang w:val="en-GB"/>
        </w:rPr>
        <w:t xml:space="preserve"> </w:t>
      </w:r>
      <w:r w:rsidR="0002070D" w:rsidRPr="00DA7B66">
        <w:rPr>
          <w:color w:val="000000" w:themeColor="text1"/>
          <w:lang w:val="en-GB"/>
        </w:rPr>
        <w:t>but large</w:t>
      </w:r>
      <w:r w:rsidR="00E058B0" w:rsidRPr="00DA7B66">
        <w:rPr>
          <w:color w:val="000000" w:themeColor="text1"/>
          <w:lang w:val="en-GB"/>
        </w:rPr>
        <w:t xml:space="preserve"> gender differences </w:t>
      </w:r>
      <w:r w:rsidR="003F452E" w:rsidRPr="00DA7B66">
        <w:rPr>
          <w:color w:val="000000" w:themeColor="text1"/>
          <w:lang w:val="en-GB"/>
        </w:rPr>
        <w:t xml:space="preserve">were maintained </w:t>
      </w:r>
      <w:r w:rsidR="00E058B0" w:rsidRPr="00DA7B66">
        <w:rPr>
          <w:color w:val="000000" w:themeColor="text1"/>
          <w:lang w:val="en-GB"/>
        </w:rPr>
        <w:t xml:space="preserve">(42.7% for </w:t>
      </w:r>
      <w:r w:rsidR="001774D9" w:rsidRPr="00DA7B66">
        <w:rPr>
          <w:color w:val="000000" w:themeColor="text1"/>
          <w:lang w:val="en-GB"/>
        </w:rPr>
        <w:t xml:space="preserve">boys </w:t>
      </w:r>
      <w:r w:rsidR="006F1668" w:rsidRPr="00DA7B66">
        <w:rPr>
          <w:color w:val="000000" w:themeColor="text1"/>
          <w:lang w:val="en-GB"/>
        </w:rPr>
        <w:t xml:space="preserve">and </w:t>
      </w:r>
      <w:r w:rsidR="00E058B0" w:rsidRPr="00DA7B66">
        <w:rPr>
          <w:color w:val="000000" w:themeColor="text1"/>
          <w:lang w:val="en-GB"/>
        </w:rPr>
        <w:t xml:space="preserve">23.7% for </w:t>
      </w:r>
      <w:r w:rsidR="001774D9" w:rsidRPr="00DA7B66">
        <w:rPr>
          <w:color w:val="000000" w:themeColor="text1"/>
          <w:lang w:val="en-GB"/>
        </w:rPr>
        <w:t>girls</w:t>
      </w:r>
      <w:r w:rsidR="00E058B0" w:rsidRPr="00DA7B66">
        <w:rPr>
          <w:color w:val="000000" w:themeColor="text1"/>
          <w:lang w:val="en-GB"/>
        </w:rPr>
        <w:t xml:space="preserve">). In addition, regional variability </w:t>
      </w:r>
      <w:r w:rsidR="007E2FBD" w:rsidRPr="00DA7B66">
        <w:rPr>
          <w:color w:val="000000" w:themeColor="text1"/>
          <w:lang w:val="en-GB"/>
        </w:rPr>
        <w:t xml:space="preserve">in </w:t>
      </w:r>
      <w:r w:rsidR="00E058B0" w:rsidRPr="00DA7B66">
        <w:rPr>
          <w:color w:val="000000" w:themeColor="text1"/>
          <w:lang w:val="en-GB"/>
        </w:rPr>
        <w:t xml:space="preserve">rates </w:t>
      </w:r>
      <w:r w:rsidR="007E2FBD" w:rsidRPr="00DA7B66">
        <w:rPr>
          <w:color w:val="000000" w:themeColor="text1"/>
          <w:lang w:val="en-GB"/>
        </w:rPr>
        <w:t xml:space="preserve">for girls </w:t>
      </w:r>
      <w:r w:rsidR="006F1668" w:rsidRPr="00DA7B66">
        <w:rPr>
          <w:color w:val="000000" w:themeColor="text1"/>
          <w:lang w:val="en-GB"/>
        </w:rPr>
        <w:t>w</w:t>
      </w:r>
      <w:r w:rsidR="007E2FBD" w:rsidRPr="00DA7B66">
        <w:rPr>
          <w:color w:val="000000" w:themeColor="text1"/>
          <w:lang w:val="en-GB"/>
        </w:rPr>
        <w:t>ere</w:t>
      </w:r>
      <w:r w:rsidR="006F1668" w:rsidRPr="00DA7B66">
        <w:rPr>
          <w:color w:val="000000" w:themeColor="text1"/>
          <w:lang w:val="en-GB"/>
        </w:rPr>
        <w:t xml:space="preserve"> </w:t>
      </w:r>
      <w:r w:rsidR="00E058B0" w:rsidRPr="00DA7B66">
        <w:rPr>
          <w:color w:val="000000" w:themeColor="text1"/>
          <w:lang w:val="en-GB"/>
        </w:rPr>
        <w:t xml:space="preserve">much lower than </w:t>
      </w:r>
      <w:r w:rsidR="007E2FBD" w:rsidRPr="00DA7B66">
        <w:rPr>
          <w:color w:val="000000" w:themeColor="text1"/>
          <w:lang w:val="en-GB"/>
        </w:rPr>
        <w:t>for boys</w:t>
      </w:r>
      <w:r w:rsidR="00E058B0" w:rsidRPr="00DA7B66">
        <w:rPr>
          <w:color w:val="000000" w:themeColor="text1"/>
          <w:lang w:val="en-GB"/>
        </w:rPr>
        <w:t xml:space="preserve">. Once again, the hypothesis </w:t>
      </w:r>
      <w:r w:rsidR="006F1668" w:rsidRPr="00DA7B66">
        <w:rPr>
          <w:color w:val="000000" w:themeColor="text1"/>
          <w:lang w:val="en-GB"/>
        </w:rPr>
        <w:t xml:space="preserve">that there were </w:t>
      </w:r>
      <w:r w:rsidR="00E058B0" w:rsidRPr="00DA7B66">
        <w:rPr>
          <w:color w:val="000000" w:themeColor="text1"/>
          <w:lang w:val="en-GB"/>
        </w:rPr>
        <w:t xml:space="preserve">tensions between </w:t>
      </w:r>
      <w:r w:rsidR="006F1668" w:rsidRPr="00DA7B66">
        <w:rPr>
          <w:color w:val="000000" w:themeColor="text1"/>
          <w:lang w:val="en-GB"/>
        </w:rPr>
        <w:t xml:space="preserve">the </w:t>
      </w:r>
      <w:r w:rsidR="00E058B0" w:rsidRPr="00DA7B66">
        <w:rPr>
          <w:color w:val="000000" w:themeColor="text1"/>
          <w:lang w:val="en-GB"/>
        </w:rPr>
        <w:t xml:space="preserve">labour market and </w:t>
      </w:r>
      <w:r w:rsidR="006F1668" w:rsidRPr="00DA7B66">
        <w:rPr>
          <w:color w:val="000000" w:themeColor="text1"/>
          <w:lang w:val="en-GB"/>
        </w:rPr>
        <w:t xml:space="preserve">the </w:t>
      </w:r>
      <w:r w:rsidR="00E058B0" w:rsidRPr="00DA7B66">
        <w:rPr>
          <w:color w:val="000000" w:themeColor="text1"/>
          <w:lang w:val="en-GB"/>
        </w:rPr>
        <w:t xml:space="preserve">education system may explain </w:t>
      </w:r>
      <w:r w:rsidR="007E2FBD" w:rsidRPr="00DA7B66">
        <w:rPr>
          <w:color w:val="000000" w:themeColor="text1"/>
          <w:lang w:val="en-GB"/>
        </w:rPr>
        <w:t xml:space="preserve">a </w:t>
      </w:r>
      <w:r w:rsidR="00E058B0" w:rsidRPr="00DA7B66">
        <w:rPr>
          <w:color w:val="000000" w:themeColor="text1"/>
          <w:lang w:val="en-GB"/>
        </w:rPr>
        <w:t xml:space="preserve">part of this difference, given the unequal demand for </w:t>
      </w:r>
      <w:r w:rsidR="00E058B0" w:rsidRPr="00F96EBF">
        <w:rPr>
          <w:color w:val="000000" w:themeColor="text1"/>
          <w:lang w:val="en-GB"/>
        </w:rPr>
        <w:t xml:space="preserve">low-skilled jobs in highly </w:t>
      </w:r>
      <w:r w:rsidR="003F452E" w:rsidRPr="00F96EBF">
        <w:rPr>
          <w:color w:val="000000" w:themeColor="text1"/>
          <w:lang w:val="en-GB"/>
        </w:rPr>
        <w:t>male-dominant</w:t>
      </w:r>
      <w:r w:rsidR="00E058B0" w:rsidRPr="00F96EBF">
        <w:rPr>
          <w:color w:val="000000" w:themeColor="text1"/>
          <w:lang w:val="en-GB"/>
        </w:rPr>
        <w:t xml:space="preserve"> sectors such as the </w:t>
      </w:r>
      <w:r w:rsidR="008031DE" w:rsidRPr="00F96EBF">
        <w:rPr>
          <w:color w:val="000000" w:themeColor="text1"/>
          <w:lang w:val="en-GB"/>
        </w:rPr>
        <w:t xml:space="preserve">construction </w:t>
      </w:r>
      <w:r w:rsidR="00E058B0" w:rsidRPr="00F96EBF">
        <w:rPr>
          <w:color w:val="000000" w:themeColor="text1"/>
          <w:lang w:val="en-GB"/>
        </w:rPr>
        <w:t>industry.</w:t>
      </w:r>
    </w:p>
    <w:p w14:paraId="4F85DBBB" w14:textId="77777777" w:rsidR="001A6A04" w:rsidRPr="00F96EBF" w:rsidRDefault="001A6A04" w:rsidP="006D08A5">
      <w:pPr>
        <w:rPr>
          <w:color w:val="000000" w:themeColor="text1"/>
          <w:lang w:val="en-GB"/>
        </w:rPr>
      </w:pPr>
    </w:p>
    <w:p w14:paraId="30E2BF3E" w14:textId="77777777" w:rsidR="001A6A04" w:rsidRDefault="001A6A04" w:rsidP="006D08A5">
      <w:pPr>
        <w:pStyle w:val="Ttulo2"/>
        <w:spacing w:before="0" w:after="0"/>
        <w:jc w:val="left"/>
        <w:rPr>
          <w:rFonts w:cs="Times New Roman"/>
          <w:caps w:val="0"/>
          <w:sz w:val="24"/>
          <w:szCs w:val="24"/>
        </w:rPr>
      </w:pPr>
      <w:bookmarkStart w:id="5" w:name="_Hlk2528285"/>
    </w:p>
    <w:p w14:paraId="053A2C8D" w14:textId="3E2B64BB" w:rsidR="00E058B0" w:rsidRPr="001A6A04" w:rsidRDefault="001A6A04" w:rsidP="006D08A5">
      <w:pPr>
        <w:pStyle w:val="Ttulo2"/>
        <w:spacing w:before="0" w:after="0"/>
        <w:jc w:val="left"/>
        <w:rPr>
          <w:rFonts w:cs="Times New Roman"/>
          <w:caps w:val="0"/>
          <w:sz w:val="28"/>
          <w:szCs w:val="28"/>
        </w:rPr>
      </w:pPr>
      <w:r w:rsidRPr="001A6A04">
        <w:rPr>
          <w:rFonts w:cs="Times New Roman"/>
          <w:caps w:val="0"/>
          <w:sz w:val="28"/>
          <w:szCs w:val="28"/>
        </w:rPr>
        <w:t xml:space="preserve">4.4 </w:t>
      </w:r>
      <w:r w:rsidR="00E058B0" w:rsidRPr="001A6A04">
        <w:rPr>
          <w:rFonts w:cs="Times New Roman"/>
          <w:caps w:val="0"/>
          <w:sz w:val="28"/>
          <w:szCs w:val="28"/>
        </w:rPr>
        <w:t>Skill</w:t>
      </w:r>
      <w:r w:rsidR="00D4334C" w:rsidRPr="001A6A04">
        <w:rPr>
          <w:rFonts w:cs="Times New Roman"/>
          <w:caps w:val="0"/>
          <w:sz w:val="28"/>
          <w:szCs w:val="28"/>
        </w:rPr>
        <w:t>s</w:t>
      </w:r>
      <w:r w:rsidR="00E058B0" w:rsidRPr="001A6A04">
        <w:rPr>
          <w:rFonts w:cs="Times New Roman"/>
          <w:caps w:val="0"/>
          <w:sz w:val="28"/>
          <w:szCs w:val="28"/>
        </w:rPr>
        <w:t xml:space="preserve"> tests</w:t>
      </w:r>
    </w:p>
    <w:bookmarkEnd w:id="5"/>
    <w:p w14:paraId="23CBCFE0" w14:textId="17F5A2EE" w:rsidR="00E058B0" w:rsidRDefault="00892C1D" w:rsidP="0074602A">
      <w:pPr>
        <w:jc w:val="both"/>
        <w:rPr>
          <w:color w:val="000000" w:themeColor="text1"/>
          <w:lang w:val="en-GB"/>
        </w:rPr>
      </w:pPr>
      <w:r w:rsidRPr="00F96EBF">
        <w:rPr>
          <w:color w:val="000000" w:themeColor="text1"/>
          <w:lang w:val="en-GB"/>
        </w:rPr>
        <w:t xml:space="preserve">One of the aims of the </w:t>
      </w:r>
      <w:r w:rsidR="00E058B0" w:rsidRPr="00F96EBF">
        <w:rPr>
          <w:color w:val="000000" w:themeColor="text1"/>
          <w:lang w:val="en-GB"/>
        </w:rPr>
        <w:t xml:space="preserve">PISA study </w:t>
      </w:r>
      <w:r w:rsidRPr="00F96EBF">
        <w:rPr>
          <w:color w:val="000000" w:themeColor="text1"/>
          <w:lang w:val="en-GB"/>
        </w:rPr>
        <w:t xml:space="preserve">is to </w:t>
      </w:r>
      <w:r w:rsidR="00E058B0" w:rsidRPr="00F96EBF">
        <w:rPr>
          <w:color w:val="000000" w:themeColor="text1"/>
          <w:lang w:val="en-GB"/>
        </w:rPr>
        <w:t xml:space="preserve">measure the </w:t>
      </w:r>
      <w:r w:rsidR="00E058B0" w:rsidRPr="00DA7B66">
        <w:rPr>
          <w:color w:val="000000" w:themeColor="text1"/>
          <w:lang w:val="en-GB"/>
        </w:rPr>
        <w:t xml:space="preserve">skills of </w:t>
      </w:r>
      <w:r w:rsidR="00663A12" w:rsidRPr="00DA7B66">
        <w:rPr>
          <w:color w:val="000000" w:themeColor="text1"/>
          <w:lang w:val="en-GB"/>
        </w:rPr>
        <w:t>fifteen</w:t>
      </w:r>
      <w:r w:rsidR="00E058B0" w:rsidRPr="00DA7B66">
        <w:rPr>
          <w:color w:val="000000" w:themeColor="text1"/>
          <w:lang w:val="en-GB"/>
        </w:rPr>
        <w:t>-year-old students in reading, maths</w:t>
      </w:r>
      <w:r w:rsidR="003F452E" w:rsidRPr="00DA7B66">
        <w:rPr>
          <w:color w:val="000000" w:themeColor="text1"/>
          <w:lang w:val="en-GB"/>
        </w:rPr>
        <w:t>,</w:t>
      </w:r>
      <w:r w:rsidR="00E058B0" w:rsidRPr="00DA7B66">
        <w:rPr>
          <w:color w:val="000000" w:themeColor="text1"/>
          <w:lang w:val="en-GB"/>
        </w:rPr>
        <w:t xml:space="preserve"> and science literacy</w:t>
      </w:r>
      <w:r w:rsidRPr="00DA7B66">
        <w:rPr>
          <w:color w:val="000000" w:themeColor="text1"/>
          <w:lang w:val="en-GB"/>
        </w:rPr>
        <w:t xml:space="preserve"> among other educational phenomena</w:t>
      </w:r>
      <w:r w:rsidR="00E058B0" w:rsidRPr="00DA7B66">
        <w:rPr>
          <w:color w:val="000000" w:themeColor="text1"/>
          <w:lang w:val="en-GB"/>
        </w:rPr>
        <w:t xml:space="preserve">. The scores are obtained through the elaboration of a performance scale with a mean of 500 points and </w:t>
      </w:r>
      <w:r w:rsidR="003F452E" w:rsidRPr="00DA7B66">
        <w:rPr>
          <w:color w:val="000000" w:themeColor="text1"/>
          <w:lang w:val="en-GB"/>
        </w:rPr>
        <w:t xml:space="preserve">a </w:t>
      </w:r>
      <w:r w:rsidR="00E058B0" w:rsidRPr="00DA7B66">
        <w:rPr>
          <w:color w:val="000000" w:themeColor="text1"/>
          <w:lang w:val="en-GB"/>
        </w:rPr>
        <w:t xml:space="preserve">standard deviation of 100. The scores of the students </w:t>
      </w:r>
      <w:r w:rsidR="003F452E" w:rsidRPr="00DA7B66">
        <w:rPr>
          <w:color w:val="000000" w:themeColor="text1"/>
          <w:lang w:val="en-GB"/>
        </w:rPr>
        <w:t xml:space="preserve">were </w:t>
      </w:r>
      <w:r w:rsidR="00E058B0" w:rsidRPr="00DA7B66">
        <w:rPr>
          <w:color w:val="000000" w:themeColor="text1"/>
          <w:lang w:val="en-GB"/>
        </w:rPr>
        <w:t xml:space="preserve">grouped at </w:t>
      </w:r>
      <w:r w:rsidR="00663A12" w:rsidRPr="00DA7B66">
        <w:rPr>
          <w:color w:val="000000" w:themeColor="text1"/>
          <w:lang w:val="en-GB"/>
        </w:rPr>
        <w:t xml:space="preserve">a </w:t>
      </w:r>
      <w:r w:rsidR="00E058B0" w:rsidRPr="00DA7B66">
        <w:rPr>
          <w:color w:val="000000" w:themeColor="text1"/>
          <w:lang w:val="en-GB"/>
        </w:rPr>
        <w:t xml:space="preserve">regional level for most Spanish regions. Table </w:t>
      </w:r>
      <w:r w:rsidR="003C51F3">
        <w:rPr>
          <w:color w:val="000000" w:themeColor="text1"/>
          <w:lang w:val="en-GB"/>
        </w:rPr>
        <w:t>6</w:t>
      </w:r>
      <w:r w:rsidR="00E058B0" w:rsidRPr="00DA7B66">
        <w:rPr>
          <w:color w:val="000000" w:themeColor="text1"/>
          <w:lang w:val="en-GB"/>
        </w:rPr>
        <w:t xml:space="preserve"> shows that </w:t>
      </w:r>
      <w:r w:rsidR="003F452E" w:rsidRPr="00DA7B66">
        <w:rPr>
          <w:color w:val="000000" w:themeColor="text1"/>
          <w:lang w:val="en-GB"/>
        </w:rPr>
        <w:t xml:space="preserve">the </w:t>
      </w:r>
      <w:r w:rsidR="00E058B0" w:rsidRPr="00DA7B66">
        <w:rPr>
          <w:color w:val="000000" w:themeColor="text1"/>
          <w:lang w:val="en-GB"/>
        </w:rPr>
        <w:t xml:space="preserve">national average </w:t>
      </w:r>
      <w:r w:rsidR="003F452E" w:rsidRPr="00DA7B66">
        <w:rPr>
          <w:color w:val="000000" w:themeColor="text1"/>
          <w:lang w:val="en-GB"/>
        </w:rPr>
        <w:t xml:space="preserve">was </w:t>
      </w:r>
      <w:r w:rsidR="00E058B0" w:rsidRPr="00DA7B66">
        <w:rPr>
          <w:color w:val="000000" w:themeColor="text1"/>
          <w:lang w:val="en-GB"/>
        </w:rPr>
        <w:t>around 492 points. Navarre, Castile and Leon, and Madrid ha</w:t>
      </w:r>
      <w:r w:rsidR="003F452E" w:rsidRPr="00DA7B66">
        <w:rPr>
          <w:color w:val="000000" w:themeColor="text1"/>
          <w:lang w:val="en-GB"/>
        </w:rPr>
        <w:t>d</w:t>
      </w:r>
      <w:r w:rsidR="00E058B0" w:rsidRPr="00DA7B66">
        <w:rPr>
          <w:color w:val="000000" w:themeColor="text1"/>
          <w:lang w:val="en-GB"/>
        </w:rPr>
        <w:t xml:space="preserve"> the highest scores (514, 515 and 513 points, respectively). In contrast, the Canary Islands and Extremadura produce</w:t>
      </w:r>
      <w:r w:rsidR="003F452E" w:rsidRPr="00DA7B66">
        <w:rPr>
          <w:color w:val="000000" w:themeColor="text1"/>
          <w:lang w:val="en-GB"/>
        </w:rPr>
        <w:t>d</w:t>
      </w:r>
      <w:r w:rsidR="00E058B0" w:rsidRPr="00DA7B66">
        <w:rPr>
          <w:color w:val="000000" w:themeColor="text1"/>
          <w:lang w:val="en-GB"/>
        </w:rPr>
        <w:t xml:space="preserve"> the </w:t>
      </w:r>
      <w:bookmarkStart w:id="6" w:name="_Hlk2528442"/>
      <w:r w:rsidR="0074602A" w:rsidRPr="00DA7B66">
        <w:rPr>
          <w:color w:val="000000" w:themeColor="text1"/>
          <w:lang w:val="en-GB"/>
        </w:rPr>
        <w:t>lowest scores</w:t>
      </w:r>
      <w:r w:rsidR="00E058B0" w:rsidRPr="00DA7B66">
        <w:rPr>
          <w:color w:val="000000" w:themeColor="text1"/>
          <w:lang w:val="en-GB"/>
        </w:rPr>
        <w:t>, with values of around 470‒475 po</w:t>
      </w:r>
      <w:r w:rsidR="00E058B0" w:rsidRPr="00F96EBF">
        <w:rPr>
          <w:color w:val="000000" w:themeColor="text1"/>
          <w:lang w:val="en-GB"/>
        </w:rPr>
        <w:t>ints.</w:t>
      </w:r>
    </w:p>
    <w:p w14:paraId="457833F7" w14:textId="77777777" w:rsidR="003C51F3" w:rsidRPr="00F96EBF" w:rsidRDefault="003C51F3" w:rsidP="0074602A">
      <w:pPr>
        <w:jc w:val="both"/>
        <w:rPr>
          <w:color w:val="000000" w:themeColor="text1"/>
          <w:lang w:val="en-GB"/>
        </w:rPr>
      </w:pPr>
    </w:p>
    <w:bookmarkEnd w:id="6"/>
    <w:p w14:paraId="4B1F7346" w14:textId="59D9AF89" w:rsidR="008031DE" w:rsidRPr="006F260D" w:rsidRDefault="006F260D" w:rsidP="006F260D">
      <w:pPr>
        <w:keepNext/>
        <w:jc w:val="center"/>
        <w:rPr>
          <w:bCs/>
          <w:color w:val="000000" w:themeColor="text1"/>
          <w:lang w:val="en-GB"/>
        </w:rPr>
      </w:pPr>
      <w:r>
        <w:rPr>
          <w:bCs/>
          <w:color w:val="000000" w:themeColor="text1"/>
          <w:lang w:val="en-GB"/>
        </w:rPr>
        <w:lastRenderedPageBreak/>
        <w:t>[</w:t>
      </w:r>
      <w:r w:rsidR="00E058B0" w:rsidRPr="006F260D">
        <w:rPr>
          <w:bCs/>
          <w:color w:val="000000" w:themeColor="text1"/>
          <w:lang w:val="en-GB"/>
        </w:rPr>
        <w:t xml:space="preserve">Insert Table </w:t>
      </w:r>
      <w:r w:rsidR="003C51F3">
        <w:rPr>
          <w:bCs/>
          <w:color w:val="000000" w:themeColor="text1"/>
          <w:lang w:val="en-GB"/>
        </w:rPr>
        <w:t>6</w:t>
      </w:r>
      <w:r w:rsidR="00E058B0" w:rsidRPr="006F260D">
        <w:rPr>
          <w:bCs/>
          <w:color w:val="000000" w:themeColor="text1"/>
          <w:lang w:val="en-GB"/>
        </w:rPr>
        <w:t xml:space="preserve"> here</w:t>
      </w:r>
      <w:r>
        <w:rPr>
          <w:bCs/>
          <w:color w:val="000000" w:themeColor="text1"/>
          <w:lang w:val="en-GB"/>
        </w:rPr>
        <w:t>]</w:t>
      </w:r>
    </w:p>
    <w:p w14:paraId="6176039E" w14:textId="77777777" w:rsidR="00E058B0" w:rsidRPr="00F96EBF" w:rsidRDefault="00E058B0" w:rsidP="006D08A5">
      <w:pPr>
        <w:keepNext/>
        <w:rPr>
          <w:color w:val="000000" w:themeColor="text1"/>
          <w:lang w:val="en-GB"/>
        </w:rPr>
      </w:pPr>
    </w:p>
    <w:p w14:paraId="0775B4DF" w14:textId="5CCCEE04" w:rsidR="00E058B0" w:rsidRDefault="003C51F3" w:rsidP="002C53B7">
      <w:pPr>
        <w:jc w:val="both"/>
        <w:rPr>
          <w:color w:val="000000" w:themeColor="text1"/>
          <w:lang w:val="en-GB"/>
        </w:rPr>
      </w:pPr>
      <w:r>
        <w:rPr>
          <w:color w:val="000000" w:themeColor="text1"/>
          <w:lang w:val="en-GB"/>
        </w:rPr>
        <w:t xml:space="preserve">For the OLS </w:t>
      </w:r>
      <w:proofErr w:type="gramStart"/>
      <w:r>
        <w:rPr>
          <w:color w:val="000000" w:themeColor="text1"/>
          <w:lang w:val="en-GB"/>
        </w:rPr>
        <w:t>regression</w:t>
      </w:r>
      <w:r w:rsidR="002C53B7" w:rsidRPr="00DA7B66">
        <w:rPr>
          <w:color w:val="000000" w:themeColor="text1"/>
          <w:lang w:val="en-GB"/>
        </w:rPr>
        <w:t>;</w:t>
      </w:r>
      <w:proofErr w:type="gramEnd"/>
      <w:r w:rsidR="00D00D8B" w:rsidRPr="00DA7B66">
        <w:rPr>
          <w:color w:val="000000" w:themeColor="text1"/>
          <w:lang w:val="en-GB"/>
        </w:rPr>
        <w:t xml:space="preserve"> PISA scores are calculated at the age of 15, </w:t>
      </w:r>
      <w:r w:rsidR="002C53B7" w:rsidRPr="00DA7B66">
        <w:rPr>
          <w:color w:val="000000" w:themeColor="text1"/>
          <w:lang w:val="en-GB"/>
        </w:rPr>
        <w:t xml:space="preserve">a delay of at least two years was for this reason </w:t>
      </w:r>
      <w:r w:rsidR="00D00D8B" w:rsidRPr="00DA7B66">
        <w:rPr>
          <w:color w:val="000000" w:themeColor="text1"/>
          <w:lang w:val="en-GB"/>
        </w:rPr>
        <w:t xml:space="preserve">necessary </w:t>
      </w:r>
      <w:r w:rsidR="002C53B7" w:rsidRPr="00DA7B66">
        <w:rPr>
          <w:color w:val="000000" w:themeColor="text1"/>
          <w:lang w:val="en-GB"/>
        </w:rPr>
        <w:t xml:space="preserve">in </w:t>
      </w:r>
      <w:r w:rsidR="00D00D8B" w:rsidRPr="00DA7B66">
        <w:rPr>
          <w:color w:val="000000" w:themeColor="text1"/>
          <w:lang w:val="en-GB"/>
        </w:rPr>
        <w:t>the regression</w:t>
      </w:r>
      <w:r w:rsidR="002C53B7" w:rsidRPr="00DA7B66">
        <w:rPr>
          <w:color w:val="000000" w:themeColor="text1"/>
          <w:lang w:val="en-GB"/>
        </w:rPr>
        <w:t xml:space="preserve"> analysis</w:t>
      </w:r>
      <w:r w:rsidR="00D00D8B" w:rsidRPr="00DA7B66">
        <w:rPr>
          <w:color w:val="000000" w:themeColor="text1"/>
          <w:lang w:val="en-GB"/>
        </w:rPr>
        <w:t xml:space="preserve">. </w:t>
      </w:r>
      <w:r w:rsidR="00E058B0" w:rsidRPr="00DA7B66">
        <w:rPr>
          <w:color w:val="000000" w:themeColor="text1"/>
          <w:lang w:val="en-GB"/>
        </w:rPr>
        <w:t>In contrast to other education</w:t>
      </w:r>
      <w:r w:rsidR="002C53B7" w:rsidRPr="00DA7B66">
        <w:rPr>
          <w:color w:val="000000" w:themeColor="text1"/>
          <w:lang w:val="en-GB"/>
        </w:rPr>
        <w:t xml:space="preserve"> </w:t>
      </w:r>
      <w:r w:rsidR="00E058B0" w:rsidRPr="00DA7B66">
        <w:rPr>
          <w:color w:val="000000" w:themeColor="text1"/>
          <w:lang w:val="en-GB"/>
        </w:rPr>
        <w:t>variables, PISA scores seem</w:t>
      </w:r>
      <w:r w:rsidR="005A5CDD" w:rsidRPr="00DA7B66">
        <w:rPr>
          <w:color w:val="000000" w:themeColor="text1"/>
          <w:lang w:val="en-GB"/>
        </w:rPr>
        <w:t>ed</w:t>
      </w:r>
      <w:r w:rsidR="00E058B0" w:rsidRPr="00DA7B66">
        <w:rPr>
          <w:color w:val="000000" w:themeColor="text1"/>
          <w:lang w:val="en-GB"/>
        </w:rPr>
        <w:t xml:space="preserve"> to have a limited predictive power </w:t>
      </w:r>
      <w:r w:rsidR="002C53B7" w:rsidRPr="00DA7B66">
        <w:rPr>
          <w:color w:val="000000" w:themeColor="text1"/>
          <w:lang w:val="en-GB"/>
        </w:rPr>
        <w:t>for</w:t>
      </w:r>
      <w:r w:rsidR="00923FA3">
        <w:rPr>
          <w:color w:val="000000" w:themeColor="text1"/>
          <w:lang w:val="en-GB"/>
        </w:rPr>
        <w:t xml:space="preserve"> both genders</w:t>
      </w:r>
      <w:r w:rsidR="00E058B0" w:rsidRPr="002C53B7">
        <w:rPr>
          <w:color w:val="000000" w:themeColor="text1"/>
          <w:lang w:val="en-GB"/>
        </w:rPr>
        <w:t xml:space="preserve">. </w:t>
      </w:r>
      <w:r w:rsidR="005A5CDD" w:rsidRPr="002C53B7">
        <w:rPr>
          <w:color w:val="000000" w:themeColor="text1"/>
          <w:lang w:val="en-GB"/>
        </w:rPr>
        <w:t xml:space="preserve">As </w:t>
      </w:r>
      <w:r w:rsidR="00E058B0" w:rsidRPr="002C53B7">
        <w:rPr>
          <w:color w:val="000000" w:themeColor="text1"/>
          <w:lang w:val="en-GB"/>
        </w:rPr>
        <w:t xml:space="preserve">Choi and </w:t>
      </w:r>
      <w:proofErr w:type="spellStart"/>
      <w:r w:rsidR="00E058B0" w:rsidRPr="002C53B7">
        <w:rPr>
          <w:color w:val="000000" w:themeColor="text1"/>
          <w:lang w:val="en-GB"/>
        </w:rPr>
        <w:t>Jerrim</w:t>
      </w:r>
      <w:proofErr w:type="spellEnd"/>
      <w:r w:rsidR="00E058B0" w:rsidRPr="002C53B7">
        <w:rPr>
          <w:color w:val="000000" w:themeColor="text1"/>
          <w:lang w:val="en-GB"/>
        </w:rPr>
        <w:t xml:space="preserve"> (2016) show</w:t>
      </w:r>
      <w:r w:rsidR="005A5CDD" w:rsidRPr="002C53B7">
        <w:rPr>
          <w:color w:val="000000" w:themeColor="text1"/>
          <w:lang w:val="en-GB"/>
        </w:rPr>
        <w:t>ed</w:t>
      </w:r>
      <w:r w:rsidR="00E058B0" w:rsidRPr="002C53B7">
        <w:rPr>
          <w:color w:val="000000" w:themeColor="text1"/>
          <w:lang w:val="en-GB"/>
        </w:rPr>
        <w:t xml:space="preserve">, regional differences and the gap between Spain and the rest of the </w:t>
      </w:r>
      <w:r w:rsidR="005A5CDD" w:rsidRPr="002C53B7">
        <w:rPr>
          <w:color w:val="000000" w:themeColor="text1"/>
          <w:lang w:val="en-GB"/>
        </w:rPr>
        <w:t>EU and</w:t>
      </w:r>
      <w:r w:rsidR="00E058B0" w:rsidRPr="002C53B7">
        <w:rPr>
          <w:color w:val="000000" w:themeColor="text1"/>
          <w:lang w:val="en-GB"/>
        </w:rPr>
        <w:t xml:space="preserve"> OECD </w:t>
      </w:r>
      <w:r w:rsidR="005A5CDD" w:rsidRPr="002C53B7">
        <w:rPr>
          <w:color w:val="000000" w:themeColor="text1"/>
          <w:lang w:val="en-GB"/>
        </w:rPr>
        <w:t>countries arose at an earlier stage.</w:t>
      </w:r>
    </w:p>
    <w:p w14:paraId="45A28C75" w14:textId="77777777" w:rsidR="006F260D" w:rsidRPr="00F96EBF" w:rsidRDefault="006F260D" w:rsidP="006D08A5">
      <w:pPr>
        <w:rPr>
          <w:color w:val="000000" w:themeColor="text1"/>
          <w:lang w:val="en-GB"/>
        </w:rPr>
      </w:pPr>
    </w:p>
    <w:p w14:paraId="14635CF3" w14:textId="77777777" w:rsidR="00756D7A" w:rsidRPr="00756D7A" w:rsidRDefault="00756D7A" w:rsidP="00756D7A">
      <w:pPr>
        <w:keepNext/>
        <w:jc w:val="center"/>
        <w:rPr>
          <w:bCs/>
          <w:color w:val="000000" w:themeColor="text1"/>
          <w:lang w:val="en-GB"/>
        </w:rPr>
      </w:pPr>
    </w:p>
    <w:p w14:paraId="5E94BEBF" w14:textId="215BEB96" w:rsidR="00E058B0" w:rsidRPr="009376AE" w:rsidRDefault="00CA7F26" w:rsidP="009376AE">
      <w:pPr>
        <w:pStyle w:val="Ttulo2"/>
        <w:spacing w:before="0" w:after="0"/>
        <w:jc w:val="left"/>
        <w:rPr>
          <w:rFonts w:cs="Times New Roman"/>
          <w:caps w:val="0"/>
          <w:sz w:val="24"/>
          <w:szCs w:val="24"/>
        </w:rPr>
      </w:pPr>
      <w:r w:rsidRPr="009376AE">
        <w:rPr>
          <w:rFonts w:cs="Times New Roman"/>
          <w:caps w:val="0"/>
          <w:sz w:val="24"/>
          <w:szCs w:val="24"/>
        </w:rPr>
        <w:t>5</w:t>
      </w:r>
      <w:r w:rsidR="009376AE" w:rsidRPr="009376AE">
        <w:rPr>
          <w:rFonts w:cs="Times New Roman"/>
          <w:caps w:val="0"/>
          <w:sz w:val="24"/>
          <w:szCs w:val="24"/>
        </w:rPr>
        <w:t xml:space="preserve"> CONCLUSIONS AND IMPLICATIONS FOR EDUCATION POLICY</w:t>
      </w:r>
    </w:p>
    <w:p w14:paraId="641C5EE6" w14:textId="486200C8" w:rsidR="00435682" w:rsidRPr="00DA7B66" w:rsidRDefault="00E058B0" w:rsidP="005F1FAD">
      <w:pPr>
        <w:jc w:val="both"/>
        <w:rPr>
          <w:color w:val="000000" w:themeColor="text1"/>
          <w:lang w:val="en-GB"/>
        </w:rPr>
      </w:pPr>
      <w:r w:rsidRPr="00F96EBF">
        <w:rPr>
          <w:color w:val="000000" w:themeColor="text1"/>
          <w:lang w:val="en-GB"/>
        </w:rPr>
        <w:t xml:space="preserve">This paper highlights the deep regional and gender inequalities that exist in </w:t>
      </w:r>
      <w:r w:rsidR="001A72F4" w:rsidRPr="00F96EBF">
        <w:rPr>
          <w:color w:val="000000" w:themeColor="text1"/>
          <w:lang w:val="en-GB"/>
        </w:rPr>
        <w:t>early school leaving</w:t>
      </w:r>
      <w:r w:rsidRPr="00F96EBF">
        <w:rPr>
          <w:color w:val="000000" w:themeColor="text1"/>
          <w:lang w:val="en-GB"/>
        </w:rPr>
        <w:t xml:space="preserve">. </w:t>
      </w:r>
      <w:r w:rsidR="00571630" w:rsidRPr="00F96EBF">
        <w:rPr>
          <w:color w:val="000000" w:themeColor="text1"/>
          <w:lang w:val="en-GB"/>
        </w:rPr>
        <w:t>The r</w:t>
      </w:r>
      <w:r w:rsidRPr="00F96EBF">
        <w:rPr>
          <w:color w:val="000000" w:themeColor="text1"/>
          <w:lang w:val="en-GB"/>
        </w:rPr>
        <w:t xml:space="preserve">esults suggest that </w:t>
      </w:r>
      <w:r w:rsidR="00BE46F9" w:rsidRPr="00F96EBF">
        <w:rPr>
          <w:color w:val="000000" w:themeColor="text1"/>
          <w:lang w:val="en-GB"/>
        </w:rPr>
        <w:t xml:space="preserve">early school leaving </w:t>
      </w:r>
      <w:r w:rsidRPr="00F96EBF">
        <w:rPr>
          <w:color w:val="000000" w:themeColor="text1"/>
          <w:lang w:val="en-GB"/>
        </w:rPr>
        <w:t xml:space="preserve">is not a purely exogenous phenomenon, but is the </w:t>
      </w:r>
      <w:r w:rsidR="00571630" w:rsidRPr="00F96EBF">
        <w:rPr>
          <w:color w:val="000000" w:themeColor="text1"/>
          <w:lang w:val="en-GB"/>
        </w:rPr>
        <w:t xml:space="preserve">ultimate </w:t>
      </w:r>
      <w:r w:rsidRPr="00F96EBF">
        <w:rPr>
          <w:color w:val="000000" w:themeColor="text1"/>
          <w:lang w:val="en-GB"/>
        </w:rPr>
        <w:t xml:space="preserve">expression of a process of disengagement that </w:t>
      </w:r>
      <w:r w:rsidR="00571630" w:rsidRPr="00F96EBF">
        <w:rPr>
          <w:color w:val="000000" w:themeColor="text1"/>
          <w:lang w:val="en-GB"/>
        </w:rPr>
        <w:t>can be detected</w:t>
      </w:r>
      <w:r w:rsidRPr="00F96EBF">
        <w:rPr>
          <w:color w:val="000000" w:themeColor="text1"/>
          <w:lang w:val="en-GB"/>
        </w:rPr>
        <w:t xml:space="preserve"> in earlier educational stages, as previous research </w:t>
      </w:r>
      <w:r w:rsidR="004B6DFB" w:rsidRPr="00F96EBF">
        <w:rPr>
          <w:color w:val="000000" w:themeColor="text1"/>
          <w:lang w:val="en-GB"/>
        </w:rPr>
        <w:t xml:space="preserve">has demonstrated </w:t>
      </w:r>
      <w:r w:rsidRPr="00F96EBF">
        <w:rPr>
          <w:color w:val="000000" w:themeColor="text1"/>
          <w:lang w:val="en-GB"/>
        </w:rPr>
        <w:t xml:space="preserve">(Alexander, Entwisle, &amp; Horsey, 1997; Henry, Knight, &amp; Thornberry, 2012; Janosz, Archambault, </w:t>
      </w:r>
      <w:proofErr w:type="spellStart"/>
      <w:r w:rsidRPr="00F96EBF">
        <w:rPr>
          <w:color w:val="000000" w:themeColor="text1"/>
          <w:lang w:val="en-GB"/>
        </w:rPr>
        <w:t>Morizot</w:t>
      </w:r>
      <w:proofErr w:type="spellEnd"/>
      <w:r w:rsidRPr="00F96EBF">
        <w:rPr>
          <w:color w:val="000000" w:themeColor="text1"/>
          <w:lang w:val="en-GB"/>
        </w:rPr>
        <w:t>, &amp; Pagani,</w:t>
      </w:r>
      <w:r w:rsidRPr="00F96EBF">
        <w:rPr>
          <w:i/>
          <w:color w:val="000000" w:themeColor="text1"/>
          <w:lang w:val="en-GB"/>
        </w:rPr>
        <w:t xml:space="preserve"> </w:t>
      </w:r>
      <w:r w:rsidRPr="00F96EBF">
        <w:rPr>
          <w:color w:val="000000" w:themeColor="text1"/>
          <w:lang w:val="en-GB"/>
        </w:rPr>
        <w:t xml:space="preserve">2008; Rumberger &amp; Rotermund, 2012). </w:t>
      </w:r>
      <w:r w:rsidR="007C1DA8" w:rsidRPr="00F96EBF">
        <w:rPr>
          <w:color w:val="000000" w:themeColor="text1"/>
          <w:lang w:val="en-GB"/>
        </w:rPr>
        <w:t xml:space="preserve">Thus, it seems that </w:t>
      </w:r>
      <w:r w:rsidR="00BE46F9" w:rsidRPr="00F96EBF">
        <w:rPr>
          <w:color w:val="000000" w:themeColor="text1"/>
          <w:lang w:val="en-GB"/>
        </w:rPr>
        <w:t xml:space="preserve">early school leaving </w:t>
      </w:r>
      <w:r w:rsidR="007C1DA8" w:rsidRPr="00F96EBF">
        <w:rPr>
          <w:color w:val="000000" w:themeColor="text1"/>
          <w:lang w:val="en-GB"/>
        </w:rPr>
        <w:t>h</w:t>
      </w:r>
      <w:r w:rsidR="004B6DFB" w:rsidRPr="00F96EBF">
        <w:rPr>
          <w:color w:val="000000" w:themeColor="text1"/>
          <w:lang w:val="en-GB"/>
        </w:rPr>
        <w:t>a</w:t>
      </w:r>
      <w:r w:rsidR="00571630" w:rsidRPr="00F96EBF">
        <w:rPr>
          <w:color w:val="000000" w:themeColor="text1"/>
          <w:lang w:val="en-GB"/>
        </w:rPr>
        <w:t>s</w:t>
      </w:r>
      <w:r w:rsidR="007C1DA8" w:rsidRPr="00F96EBF">
        <w:rPr>
          <w:color w:val="000000" w:themeColor="text1"/>
          <w:lang w:val="en-GB"/>
        </w:rPr>
        <w:t xml:space="preserve"> an important </w:t>
      </w:r>
      <w:r w:rsidR="004C77DE" w:rsidRPr="00F96EBF">
        <w:rPr>
          <w:color w:val="000000" w:themeColor="text1"/>
          <w:lang w:val="en-GB"/>
        </w:rPr>
        <w:t>endogenous</w:t>
      </w:r>
      <w:r w:rsidR="007C1DA8" w:rsidRPr="00F96EBF">
        <w:rPr>
          <w:color w:val="000000" w:themeColor="text1"/>
          <w:lang w:val="en-GB"/>
        </w:rPr>
        <w:t xml:space="preserve"> composition, as </w:t>
      </w:r>
      <w:r w:rsidR="00C868AE" w:rsidRPr="00F96EBF">
        <w:rPr>
          <w:color w:val="000000" w:themeColor="text1"/>
          <w:lang w:val="en-GB"/>
        </w:rPr>
        <w:t>it is strongly influenced by p</w:t>
      </w:r>
      <w:r w:rsidR="004B6DFB" w:rsidRPr="00F96EBF">
        <w:rPr>
          <w:color w:val="000000" w:themeColor="text1"/>
          <w:lang w:val="en-GB"/>
        </w:rPr>
        <w:t xml:space="preserve">oor </w:t>
      </w:r>
      <w:r w:rsidR="002D32CF" w:rsidRPr="00F96EBF">
        <w:rPr>
          <w:color w:val="000000" w:themeColor="text1"/>
          <w:lang w:val="en-GB"/>
        </w:rPr>
        <w:t xml:space="preserve">scholastic </w:t>
      </w:r>
      <w:r w:rsidR="002D32CF" w:rsidRPr="00DA7B66">
        <w:rPr>
          <w:color w:val="000000" w:themeColor="text1"/>
          <w:lang w:val="en-GB"/>
        </w:rPr>
        <w:t xml:space="preserve">performance. </w:t>
      </w:r>
      <w:r w:rsidR="007C1DA8" w:rsidRPr="00DA7B66">
        <w:rPr>
          <w:color w:val="000000" w:themeColor="text1"/>
          <w:lang w:val="en-GB"/>
        </w:rPr>
        <w:t>T</w:t>
      </w:r>
      <w:r w:rsidR="002D32CF" w:rsidRPr="00DA7B66">
        <w:rPr>
          <w:color w:val="000000" w:themeColor="text1"/>
          <w:lang w:val="en-GB"/>
        </w:rPr>
        <w:t>h</w:t>
      </w:r>
      <w:r w:rsidR="007C1DA8" w:rsidRPr="00DA7B66">
        <w:rPr>
          <w:color w:val="000000" w:themeColor="text1"/>
          <w:lang w:val="en-GB"/>
        </w:rPr>
        <w:t>e</w:t>
      </w:r>
      <w:r w:rsidR="002D32CF" w:rsidRPr="00DA7B66">
        <w:rPr>
          <w:color w:val="000000" w:themeColor="text1"/>
          <w:lang w:val="en-GB"/>
        </w:rPr>
        <w:t xml:space="preserve"> importance of early educational </w:t>
      </w:r>
      <w:r w:rsidR="00AC4746" w:rsidRPr="00DA7B66">
        <w:rPr>
          <w:color w:val="000000" w:themeColor="text1"/>
          <w:lang w:val="en-GB"/>
        </w:rPr>
        <w:t>outcomes</w:t>
      </w:r>
      <w:r w:rsidR="002D32CF" w:rsidRPr="00DA7B66">
        <w:rPr>
          <w:color w:val="000000" w:themeColor="text1"/>
          <w:lang w:val="en-GB"/>
        </w:rPr>
        <w:t xml:space="preserve"> in the </w:t>
      </w:r>
      <w:r w:rsidR="00877CAA" w:rsidRPr="00DA7B66">
        <w:rPr>
          <w:color w:val="000000" w:themeColor="text1"/>
          <w:lang w:val="en-GB"/>
        </w:rPr>
        <w:t xml:space="preserve">creation </w:t>
      </w:r>
      <w:r w:rsidR="002D32CF" w:rsidRPr="00DA7B66">
        <w:rPr>
          <w:color w:val="000000" w:themeColor="text1"/>
          <w:lang w:val="en-GB"/>
        </w:rPr>
        <w:t>and expansion of educational</w:t>
      </w:r>
      <w:r w:rsidR="00877CAA" w:rsidRPr="00DA7B66">
        <w:rPr>
          <w:color w:val="000000" w:themeColor="text1"/>
          <w:lang w:val="en-GB"/>
        </w:rPr>
        <w:t xml:space="preserve"> disparities</w:t>
      </w:r>
      <w:r w:rsidR="007C1DA8" w:rsidRPr="00DA7B66">
        <w:rPr>
          <w:color w:val="000000" w:themeColor="text1"/>
          <w:lang w:val="en-GB"/>
        </w:rPr>
        <w:t xml:space="preserve"> </w:t>
      </w:r>
      <w:r w:rsidR="00877CAA" w:rsidRPr="00DA7B66">
        <w:rPr>
          <w:color w:val="000000" w:themeColor="text1"/>
          <w:lang w:val="en-GB"/>
        </w:rPr>
        <w:t xml:space="preserve">necessitates a </w:t>
      </w:r>
      <w:r w:rsidR="002D32CF" w:rsidRPr="00DA7B66">
        <w:rPr>
          <w:color w:val="000000" w:themeColor="text1"/>
          <w:lang w:val="en-GB"/>
        </w:rPr>
        <w:t xml:space="preserve">focus on intervention in </w:t>
      </w:r>
      <w:r w:rsidR="00AC4746" w:rsidRPr="00DA7B66">
        <w:rPr>
          <w:color w:val="000000" w:themeColor="text1"/>
          <w:lang w:val="en-GB"/>
        </w:rPr>
        <w:t>all</w:t>
      </w:r>
      <w:r w:rsidR="002D32CF" w:rsidRPr="00DA7B66">
        <w:rPr>
          <w:color w:val="000000" w:themeColor="text1"/>
          <w:lang w:val="en-GB"/>
        </w:rPr>
        <w:t xml:space="preserve"> educational stage</w:t>
      </w:r>
      <w:r w:rsidR="004B6DFB" w:rsidRPr="00DA7B66">
        <w:rPr>
          <w:color w:val="000000" w:themeColor="text1"/>
          <w:lang w:val="en-GB"/>
        </w:rPr>
        <w:t xml:space="preserve">s and </w:t>
      </w:r>
      <w:r w:rsidR="00877CAA" w:rsidRPr="00DA7B66">
        <w:rPr>
          <w:color w:val="000000" w:themeColor="text1"/>
          <w:lang w:val="en-GB"/>
        </w:rPr>
        <w:t>the attenuation of</w:t>
      </w:r>
      <w:r w:rsidR="002D32CF" w:rsidRPr="00DA7B66">
        <w:rPr>
          <w:color w:val="000000" w:themeColor="text1"/>
          <w:lang w:val="en-GB"/>
        </w:rPr>
        <w:t xml:space="preserve"> inequalities </w:t>
      </w:r>
      <w:r w:rsidR="004B6DFB" w:rsidRPr="00DA7B66">
        <w:rPr>
          <w:color w:val="000000" w:themeColor="text1"/>
          <w:lang w:val="en-GB"/>
        </w:rPr>
        <w:t xml:space="preserve">in </w:t>
      </w:r>
      <w:r w:rsidR="002D32CF" w:rsidRPr="00DA7B66">
        <w:rPr>
          <w:color w:val="000000" w:themeColor="text1"/>
          <w:lang w:val="en-GB"/>
        </w:rPr>
        <w:t>socio-economic backgrounds from the beginning</w:t>
      </w:r>
      <w:r w:rsidR="00435682" w:rsidRPr="00DA7B66">
        <w:rPr>
          <w:color w:val="000000" w:themeColor="text1"/>
          <w:lang w:val="en-GB"/>
        </w:rPr>
        <w:t>; as</w:t>
      </w:r>
      <w:r w:rsidR="004B6DFB" w:rsidRPr="00DA7B66">
        <w:rPr>
          <w:color w:val="000000" w:themeColor="text1"/>
          <w:lang w:val="en-GB"/>
        </w:rPr>
        <w:t xml:space="preserve"> suggested</w:t>
      </w:r>
      <w:r w:rsidR="00435682" w:rsidRPr="00DA7B66">
        <w:rPr>
          <w:color w:val="000000" w:themeColor="text1"/>
          <w:lang w:val="en-GB"/>
        </w:rPr>
        <w:t xml:space="preserve"> </w:t>
      </w:r>
      <w:r w:rsidR="008777EB" w:rsidRPr="00DA7B66">
        <w:rPr>
          <w:color w:val="000000" w:themeColor="text1"/>
          <w:lang w:val="en-GB"/>
        </w:rPr>
        <w:t>by</w:t>
      </w:r>
      <w:r w:rsidR="002D32CF" w:rsidRPr="00DA7B66">
        <w:rPr>
          <w:color w:val="000000" w:themeColor="text1"/>
          <w:lang w:val="en-GB"/>
        </w:rPr>
        <w:t xml:space="preserve"> Cebolla-Boado, Radl, and Salazar (2014).</w:t>
      </w:r>
      <w:r w:rsidR="00AC4746" w:rsidRPr="00DA7B66">
        <w:rPr>
          <w:color w:val="000000" w:themeColor="text1"/>
          <w:lang w:val="en-GB"/>
        </w:rPr>
        <w:t xml:space="preserve"> </w:t>
      </w:r>
      <w:r w:rsidR="00435682" w:rsidRPr="00DA7B66">
        <w:rPr>
          <w:color w:val="000000" w:themeColor="text1"/>
          <w:lang w:val="en-GB"/>
        </w:rPr>
        <w:t>Squires</w:t>
      </w:r>
      <w:r w:rsidR="005F1FAD" w:rsidRPr="00DA7B66">
        <w:rPr>
          <w:color w:val="000000" w:themeColor="text1"/>
          <w:lang w:val="en-GB"/>
        </w:rPr>
        <w:t xml:space="preserve"> (</w:t>
      </w:r>
      <w:r w:rsidR="00435682" w:rsidRPr="00DA7B66">
        <w:rPr>
          <w:color w:val="000000" w:themeColor="text1"/>
          <w:lang w:val="en-GB"/>
        </w:rPr>
        <w:t xml:space="preserve">2019) </w:t>
      </w:r>
      <w:r w:rsidR="005F1FAD" w:rsidRPr="00DA7B66">
        <w:rPr>
          <w:color w:val="000000" w:themeColor="text1"/>
          <w:lang w:val="en-GB"/>
        </w:rPr>
        <w:t xml:space="preserve">notes in a recent study </w:t>
      </w:r>
      <w:r w:rsidR="00435682" w:rsidRPr="00DA7B66">
        <w:rPr>
          <w:color w:val="000000" w:themeColor="text1"/>
          <w:lang w:val="en-GB"/>
        </w:rPr>
        <w:t>that</w:t>
      </w:r>
      <w:r w:rsidR="00235D0D" w:rsidRPr="00DA7B66">
        <w:rPr>
          <w:color w:val="000000" w:themeColor="text1"/>
          <w:lang w:val="en-GB"/>
        </w:rPr>
        <w:t xml:space="preserve"> </w:t>
      </w:r>
      <w:r w:rsidR="00571630" w:rsidRPr="00DA7B66">
        <w:rPr>
          <w:color w:val="000000" w:themeColor="text1"/>
          <w:lang w:val="en-GB"/>
        </w:rPr>
        <w:t xml:space="preserve">the effect of </w:t>
      </w:r>
      <w:r w:rsidR="00235D0D" w:rsidRPr="00DA7B66">
        <w:rPr>
          <w:color w:val="000000" w:themeColor="text1"/>
          <w:lang w:val="en-GB"/>
        </w:rPr>
        <w:t>endogenous</w:t>
      </w:r>
      <w:r w:rsidR="00AC4746" w:rsidRPr="00DA7B66">
        <w:rPr>
          <w:color w:val="000000" w:themeColor="text1"/>
          <w:lang w:val="en-GB"/>
        </w:rPr>
        <w:t xml:space="preserve"> </w:t>
      </w:r>
      <w:r w:rsidR="004B6DFB" w:rsidRPr="00DA7B66">
        <w:rPr>
          <w:color w:val="000000" w:themeColor="text1"/>
          <w:lang w:val="en-GB"/>
        </w:rPr>
        <w:t xml:space="preserve">factors </w:t>
      </w:r>
      <w:r w:rsidR="00571630" w:rsidRPr="00DA7B66">
        <w:rPr>
          <w:color w:val="000000" w:themeColor="text1"/>
          <w:lang w:val="en-GB"/>
        </w:rPr>
        <w:t xml:space="preserve">on </w:t>
      </w:r>
      <w:r w:rsidR="00BE46F9" w:rsidRPr="00DA7B66">
        <w:rPr>
          <w:color w:val="000000" w:themeColor="text1"/>
          <w:lang w:val="en-GB"/>
        </w:rPr>
        <w:t xml:space="preserve">early school leaving </w:t>
      </w:r>
      <w:r w:rsidR="00963BCC" w:rsidRPr="00DA7B66">
        <w:rPr>
          <w:color w:val="000000" w:themeColor="text1"/>
          <w:lang w:val="en-GB"/>
        </w:rPr>
        <w:t>reveal</w:t>
      </w:r>
      <w:r w:rsidR="00571630" w:rsidRPr="00DA7B66">
        <w:rPr>
          <w:color w:val="000000" w:themeColor="text1"/>
          <w:lang w:val="en-GB"/>
        </w:rPr>
        <w:t>s</w:t>
      </w:r>
      <w:r w:rsidR="00963BCC" w:rsidRPr="00DA7B66">
        <w:rPr>
          <w:color w:val="000000" w:themeColor="text1"/>
          <w:lang w:val="en-GB"/>
        </w:rPr>
        <w:t xml:space="preserve"> the need </w:t>
      </w:r>
      <w:r w:rsidR="00AC4746" w:rsidRPr="00DA7B66">
        <w:rPr>
          <w:color w:val="000000" w:themeColor="text1"/>
          <w:lang w:val="en-GB"/>
        </w:rPr>
        <w:t xml:space="preserve">to consider </w:t>
      </w:r>
      <w:r w:rsidR="00235D0D" w:rsidRPr="00DA7B66">
        <w:rPr>
          <w:color w:val="000000" w:themeColor="text1"/>
          <w:lang w:val="en-GB"/>
        </w:rPr>
        <w:t xml:space="preserve">all the processes and agents </w:t>
      </w:r>
      <w:r w:rsidR="005F1FAD" w:rsidRPr="00DA7B66">
        <w:rPr>
          <w:color w:val="000000" w:themeColor="text1"/>
          <w:lang w:val="en-GB"/>
        </w:rPr>
        <w:t xml:space="preserve">contributing to </w:t>
      </w:r>
      <w:r w:rsidR="00235D0D" w:rsidRPr="00DA7B66">
        <w:rPr>
          <w:color w:val="000000" w:themeColor="text1"/>
          <w:lang w:val="en-GB"/>
        </w:rPr>
        <w:t>education</w:t>
      </w:r>
      <w:r w:rsidR="005F1FAD" w:rsidRPr="00DA7B66">
        <w:rPr>
          <w:color w:val="000000" w:themeColor="text1"/>
          <w:lang w:val="en-GB"/>
        </w:rPr>
        <w:t>.</w:t>
      </w:r>
    </w:p>
    <w:p w14:paraId="72C4E2C0" w14:textId="77777777" w:rsidR="005F1FAD" w:rsidRPr="00DA7B66" w:rsidRDefault="005F1FAD" w:rsidP="005F1FAD">
      <w:pPr>
        <w:jc w:val="both"/>
        <w:rPr>
          <w:color w:val="000000" w:themeColor="text1"/>
          <w:lang w:val="en-GB"/>
        </w:rPr>
      </w:pPr>
    </w:p>
    <w:p w14:paraId="188D2D3A" w14:textId="5CBAA77E" w:rsidR="00E058B0" w:rsidRDefault="00571630" w:rsidP="005E2E7D">
      <w:pPr>
        <w:jc w:val="both"/>
        <w:rPr>
          <w:color w:val="000000" w:themeColor="text1"/>
          <w:lang w:val="en-GB"/>
        </w:rPr>
      </w:pPr>
      <w:r w:rsidRPr="00F96EBF">
        <w:rPr>
          <w:color w:val="000000" w:themeColor="text1"/>
          <w:lang w:val="en-GB"/>
        </w:rPr>
        <w:t>The r</w:t>
      </w:r>
      <w:r w:rsidR="00713736" w:rsidRPr="00F96EBF">
        <w:rPr>
          <w:color w:val="000000" w:themeColor="text1"/>
          <w:lang w:val="en-GB"/>
        </w:rPr>
        <w:t>egional</w:t>
      </w:r>
      <w:r w:rsidR="00E058B0" w:rsidRPr="00F96EBF">
        <w:rPr>
          <w:color w:val="000000" w:themeColor="text1"/>
          <w:lang w:val="en-GB"/>
        </w:rPr>
        <w:t xml:space="preserve"> </w:t>
      </w:r>
      <w:r w:rsidR="007C1DA8" w:rsidRPr="00DA7B66">
        <w:rPr>
          <w:color w:val="000000" w:themeColor="text1"/>
          <w:lang w:val="en-GB"/>
        </w:rPr>
        <w:t xml:space="preserve">comparison </w:t>
      </w:r>
      <w:r w:rsidRPr="00DA7B66">
        <w:rPr>
          <w:color w:val="000000" w:themeColor="text1"/>
          <w:lang w:val="en-GB"/>
        </w:rPr>
        <w:t>reveals</w:t>
      </w:r>
      <w:r w:rsidR="00E058B0" w:rsidRPr="00DA7B66">
        <w:rPr>
          <w:color w:val="000000" w:themeColor="text1"/>
          <w:lang w:val="en-GB"/>
        </w:rPr>
        <w:t xml:space="preserve"> </w:t>
      </w:r>
      <w:r w:rsidR="00713736" w:rsidRPr="00DA7B66">
        <w:rPr>
          <w:color w:val="000000" w:themeColor="text1"/>
          <w:lang w:val="en-GB"/>
        </w:rPr>
        <w:t xml:space="preserve">wide </w:t>
      </w:r>
      <w:r w:rsidR="00E058B0" w:rsidRPr="00DA7B66">
        <w:rPr>
          <w:color w:val="000000" w:themeColor="text1"/>
          <w:lang w:val="en-GB"/>
        </w:rPr>
        <w:t>gaps in all</w:t>
      </w:r>
      <w:r w:rsidRPr="00DA7B66">
        <w:rPr>
          <w:color w:val="000000" w:themeColor="text1"/>
          <w:lang w:val="en-GB"/>
        </w:rPr>
        <w:t xml:space="preserve"> the</w:t>
      </w:r>
      <w:r w:rsidR="00E058B0" w:rsidRPr="00DA7B66">
        <w:rPr>
          <w:color w:val="000000" w:themeColor="text1"/>
          <w:lang w:val="en-GB"/>
        </w:rPr>
        <w:t xml:space="preserve"> indicators studied, </w:t>
      </w:r>
      <w:r w:rsidR="00713736" w:rsidRPr="00DA7B66">
        <w:rPr>
          <w:color w:val="000000" w:themeColor="text1"/>
          <w:lang w:val="en-GB"/>
        </w:rPr>
        <w:t xml:space="preserve">and this is </w:t>
      </w:r>
      <w:r w:rsidR="00E058B0" w:rsidRPr="00DA7B66">
        <w:rPr>
          <w:color w:val="000000" w:themeColor="text1"/>
          <w:lang w:val="en-GB"/>
        </w:rPr>
        <w:t>reflect</w:t>
      </w:r>
      <w:r w:rsidR="00713736" w:rsidRPr="00DA7B66">
        <w:rPr>
          <w:color w:val="000000" w:themeColor="text1"/>
          <w:lang w:val="en-GB"/>
        </w:rPr>
        <w:t>ed in variations</w:t>
      </w:r>
      <w:r w:rsidR="00E058B0" w:rsidRPr="00DA7B66">
        <w:rPr>
          <w:color w:val="000000" w:themeColor="text1"/>
          <w:lang w:val="en-GB"/>
        </w:rPr>
        <w:t xml:space="preserve"> in the </w:t>
      </w:r>
      <w:r w:rsidR="00BE46F9" w:rsidRPr="00DA7B66">
        <w:rPr>
          <w:color w:val="000000" w:themeColor="text1"/>
          <w:lang w:val="en-GB"/>
        </w:rPr>
        <w:t xml:space="preserve">early school leaving </w:t>
      </w:r>
      <w:r w:rsidR="00E058B0" w:rsidRPr="00DA7B66">
        <w:rPr>
          <w:color w:val="000000" w:themeColor="text1"/>
          <w:lang w:val="en-GB"/>
        </w:rPr>
        <w:t xml:space="preserve">rate. </w:t>
      </w:r>
      <w:r w:rsidR="008D7E39" w:rsidRPr="00DA7B66">
        <w:rPr>
          <w:color w:val="000000" w:themeColor="text1"/>
          <w:lang w:val="en-GB"/>
        </w:rPr>
        <w:t>R</w:t>
      </w:r>
      <w:r w:rsidR="00E058B0" w:rsidRPr="00DA7B66">
        <w:rPr>
          <w:color w:val="000000" w:themeColor="text1"/>
          <w:lang w:val="en-GB"/>
        </w:rPr>
        <w:t>egions such as the Basque Country, Navarre, Madrid, Castile and Le</w:t>
      </w:r>
      <w:r w:rsidR="004E6721" w:rsidRPr="00DA7B66">
        <w:rPr>
          <w:color w:val="000000" w:themeColor="text1"/>
          <w:lang w:val="en-GB"/>
        </w:rPr>
        <w:t>ó</w:t>
      </w:r>
      <w:r w:rsidR="00E058B0" w:rsidRPr="00DA7B66">
        <w:rPr>
          <w:color w:val="000000" w:themeColor="text1"/>
          <w:lang w:val="en-GB"/>
        </w:rPr>
        <w:t xml:space="preserve">n </w:t>
      </w:r>
      <w:r w:rsidR="008D7E39" w:rsidRPr="00DA7B66">
        <w:rPr>
          <w:color w:val="000000" w:themeColor="text1"/>
          <w:lang w:val="en-GB"/>
        </w:rPr>
        <w:t>register</w:t>
      </w:r>
      <w:r w:rsidR="00713736" w:rsidRPr="00DA7B66">
        <w:rPr>
          <w:color w:val="000000" w:themeColor="text1"/>
          <w:lang w:val="en-GB"/>
        </w:rPr>
        <w:t>ed</w:t>
      </w:r>
      <w:r w:rsidR="008D7E39" w:rsidRPr="00DA7B66">
        <w:rPr>
          <w:color w:val="000000" w:themeColor="text1"/>
          <w:lang w:val="en-GB"/>
        </w:rPr>
        <w:t xml:space="preserve"> better results, whil</w:t>
      </w:r>
      <w:r w:rsidR="00565135" w:rsidRPr="00DA7B66">
        <w:rPr>
          <w:color w:val="000000" w:themeColor="text1"/>
          <w:lang w:val="en-GB"/>
        </w:rPr>
        <w:t>e</w:t>
      </w:r>
      <w:r w:rsidR="008D7E39" w:rsidRPr="00DA7B66">
        <w:rPr>
          <w:color w:val="000000" w:themeColor="text1"/>
          <w:lang w:val="en-GB"/>
        </w:rPr>
        <w:t xml:space="preserve"> </w:t>
      </w:r>
      <w:r w:rsidR="00E058B0" w:rsidRPr="00DA7B66">
        <w:rPr>
          <w:color w:val="000000" w:themeColor="text1"/>
          <w:lang w:val="en-GB"/>
        </w:rPr>
        <w:t xml:space="preserve">Andalusia, </w:t>
      </w:r>
      <w:r w:rsidR="004E6721" w:rsidRPr="00DA7B66">
        <w:rPr>
          <w:color w:val="000000" w:themeColor="text1"/>
          <w:lang w:val="en-GB"/>
        </w:rPr>
        <w:t xml:space="preserve">the </w:t>
      </w:r>
      <w:r w:rsidR="008D7E39" w:rsidRPr="00DA7B66">
        <w:rPr>
          <w:color w:val="000000" w:themeColor="text1"/>
          <w:lang w:val="en-GB"/>
        </w:rPr>
        <w:t xml:space="preserve">Balearic Islands, </w:t>
      </w:r>
      <w:r w:rsidR="00E058B0" w:rsidRPr="00DA7B66">
        <w:rPr>
          <w:color w:val="000000" w:themeColor="text1"/>
          <w:lang w:val="en-GB"/>
        </w:rPr>
        <w:t>Extremadura</w:t>
      </w:r>
      <w:r w:rsidR="004E6721" w:rsidRPr="00DA7B66">
        <w:rPr>
          <w:color w:val="000000" w:themeColor="text1"/>
          <w:lang w:val="en-GB"/>
        </w:rPr>
        <w:t>,</w:t>
      </w:r>
      <w:r w:rsidR="00E058B0" w:rsidRPr="00DA7B66">
        <w:rPr>
          <w:color w:val="000000" w:themeColor="text1"/>
          <w:lang w:val="en-GB"/>
        </w:rPr>
        <w:t xml:space="preserve"> and Castile-La Mancha</w:t>
      </w:r>
      <w:r w:rsidR="008D7E39" w:rsidRPr="00DA7B66">
        <w:rPr>
          <w:color w:val="000000" w:themeColor="text1"/>
          <w:lang w:val="en-GB"/>
        </w:rPr>
        <w:t xml:space="preserve"> </w:t>
      </w:r>
      <w:r w:rsidR="00565135" w:rsidRPr="00DA7B66">
        <w:rPr>
          <w:color w:val="000000" w:themeColor="text1"/>
          <w:lang w:val="en-GB"/>
        </w:rPr>
        <w:t xml:space="preserve">scored </w:t>
      </w:r>
      <w:r w:rsidR="00713736" w:rsidRPr="00DA7B66">
        <w:rPr>
          <w:color w:val="000000" w:themeColor="text1"/>
          <w:lang w:val="en-GB"/>
        </w:rPr>
        <w:t xml:space="preserve">lower than </w:t>
      </w:r>
      <w:r w:rsidR="008D7E39" w:rsidRPr="00DA7B66">
        <w:rPr>
          <w:color w:val="000000" w:themeColor="text1"/>
          <w:lang w:val="en-GB"/>
        </w:rPr>
        <w:t>the Spanish average</w:t>
      </w:r>
      <w:r w:rsidR="00E058B0" w:rsidRPr="00DA7B66">
        <w:rPr>
          <w:color w:val="000000" w:themeColor="text1"/>
          <w:lang w:val="en-GB"/>
        </w:rPr>
        <w:t xml:space="preserve"> </w:t>
      </w:r>
      <w:r w:rsidRPr="00DA7B66">
        <w:rPr>
          <w:color w:val="000000" w:themeColor="text1"/>
          <w:lang w:val="en-GB"/>
        </w:rPr>
        <w:t xml:space="preserve">for </w:t>
      </w:r>
      <w:r w:rsidR="00E058B0" w:rsidRPr="00DA7B66">
        <w:rPr>
          <w:color w:val="000000" w:themeColor="text1"/>
          <w:lang w:val="en-GB"/>
        </w:rPr>
        <w:t xml:space="preserve">practically </w:t>
      </w:r>
      <w:r w:rsidR="0002070D" w:rsidRPr="00DA7B66">
        <w:rPr>
          <w:color w:val="000000" w:themeColor="text1"/>
          <w:lang w:val="en-GB"/>
        </w:rPr>
        <w:t>all education</w:t>
      </w:r>
      <w:r w:rsidR="00E058B0" w:rsidRPr="00DA7B66">
        <w:rPr>
          <w:color w:val="000000" w:themeColor="text1"/>
          <w:lang w:val="en-GB"/>
        </w:rPr>
        <w:t xml:space="preserve"> indicators</w:t>
      </w:r>
      <w:r w:rsidR="00565135" w:rsidRPr="00DA7B66">
        <w:rPr>
          <w:color w:val="000000" w:themeColor="text1"/>
          <w:lang w:val="en-GB"/>
        </w:rPr>
        <w:t>;</w:t>
      </w:r>
      <w:r w:rsidR="008D7E39" w:rsidRPr="00DA7B66">
        <w:rPr>
          <w:color w:val="000000" w:themeColor="text1"/>
          <w:lang w:val="en-GB"/>
        </w:rPr>
        <w:t xml:space="preserve"> </w:t>
      </w:r>
      <w:r w:rsidR="00565135" w:rsidRPr="00DA7B66">
        <w:rPr>
          <w:color w:val="000000" w:themeColor="text1"/>
          <w:lang w:val="en-GB"/>
        </w:rPr>
        <w:t>this reflects</w:t>
      </w:r>
      <w:r w:rsidR="004E6721" w:rsidRPr="00DA7B66">
        <w:rPr>
          <w:color w:val="000000" w:themeColor="text1"/>
          <w:lang w:val="en-GB"/>
        </w:rPr>
        <w:t xml:space="preserve"> </w:t>
      </w:r>
      <w:r w:rsidR="008D7E39" w:rsidRPr="00DA7B66">
        <w:rPr>
          <w:color w:val="000000" w:themeColor="text1"/>
          <w:lang w:val="en-GB"/>
        </w:rPr>
        <w:t>the north-south inequalities detected in previous studies (Cabrera, 2013)</w:t>
      </w:r>
      <w:r w:rsidR="00E058B0" w:rsidRPr="00DA7B66">
        <w:rPr>
          <w:color w:val="000000" w:themeColor="text1"/>
          <w:lang w:val="en-GB"/>
        </w:rPr>
        <w:t xml:space="preserve">. </w:t>
      </w:r>
      <w:r w:rsidR="00F720E7" w:rsidRPr="00DA7B66">
        <w:rPr>
          <w:color w:val="000000" w:themeColor="text1"/>
          <w:lang w:val="en-GB"/>
        </w:rPr>
        <w:t xml:space="preserve">These </w:t>
      </w:r>
      <w:r w:rsidR="00963BCC" w:rsidRPr="00DA7B66">
        <w:rPr>
          <w:color w:val="000000" w:themeColor="text1"/>
          <w:lang w:val="en-GB"/>
        </w:rPr>
        <w:t xml:space="preserve">findings </w:t>
      </w:r>
      <w:r w:rsidR="00F720E7" w:rsidRPr="00DA7B66">
        <w:rPr>
          <w:color w:val="000000" w:themeColor="text1"/>
          <w:lang w:val="en-GB"/>
        </w:rPr>
        <w:t>have important implications for policy</w:t>
      </w:r>
      <w:r w:rsidR="003842D3" w:rsidRPr="00DA7B66">
        <w:rPr>
          <w:color w:val="000000" w:themeColor="text1"/>
          <w:lang w:val="en-GB"/>
        </w:rPr>
        <w:t xml:space="preserve"> orientation,</w:t>
      </w:r>
      <w:r w:rsidR="00F720E7" w:rsidRPr="00DA7B66">
        <w:rPr>
          <w:color w:val="000000" w:themeColor="text1"/>
          <w:lang w:val="en-GB"/>
        </w:rPr>
        <w:t xml:space="preserve"> </w:t>
      </w:r>
      <w:r w:rsidR="003842D3" w:rsidRPr="00DA7B66">
        <w:rPr>
          <w:color w:val="000000" w:themeColor="text1"/>
          <w:lang w:val="en-GB"/>
        </w:rPr>
        <w:t>as r</w:t>
      </w:r>
      <w:r w:rsidR="00F720E7" w:rsidRPr="00DA7B66">
        <w:rPr>
          <w:color w:val="000000" w:themeColor="text1"/>
          <w:lang w:val="en-GB"/>
        </w:rPr>
        <w:t xml:space="preserve">egional inequalities seem to remain a structural feature in education outcomes not only in Spain, but in most </w:t>
      </w:r>
      <w:r w:rsidR="008C1BA5" w:rsidRPr="00DA7B66">
        <w:rPr>
          <w:color w:val="000000" w:themeColor="text1"/>
          <w:lang w:val="en-GB"/>
        </w:rPr>
        <w:t xml:space="preserve">southern European </w:t>
      </w:r>
      <w:r w:rsidR="00F720E7" w:rsidRPr="00DA7B66">
        <w:rPr>
          <w:color w:val="000000" w:themeColor="text1"/>
          <w:lang w:val="en-GB"/>
        </w:rPr>
        <w:t xml:space="preserve">countries. </w:t>
      </w:r>
      <w:r w:rsidRPr="00DA7B66">
        <w:rPr>
          <w:color w:val="000000" w:themeColor="text1"/>
          <w:lang w:val="en-GB"/>
        </w:rPr>
        <w:t>T</w:t>
      </w:r>
      <w:r w:rsidR="00F720E7" w:rsidRPr="00DA7B66">
        <w:rPr>
          <w:color w:val="000000" w:themeColor="text1"/>
          <w:lang w:val="en-GB"/>
        </w:rPr>
        <w:t xml:space="preserve">he </w:t>
      </w:r>
      <w:r w:rsidR="004E6721" w:rsidRPr="00DA7B66">
        <w:rPr>
          <w:color w:val="000000" w:themeColor="text1"/>
          <w:lang w:val="en-GB"/>
        </w:rPr>
        <w:t xml:space="preserve">persistence </w:t>
      </w:r>
      <w:r w:rsidR="00F720E7" w:rsidRPr="00DA7B66">
        <w:rPr>
          <w:color w:val="000000" w:themeColor="text1"/>
          <w:lang w:val="en-GB"/>
        </w:rPr>
        <w:t xml:space="preserve">of these regional imbalances in scholastic performance </w:t>
      </w:r>
      <w:r w:rsidR="004E6721" w:rsidRPr="00DA7B66">
        <w:rPr>
          <w:color w:val="000000" w:themeColor="text1"/>
          <w:lang w:val="en-GB"/>
        </w:rPr>
        <w:t xml:space="preserve">at </w:t>
      </w:r>
      <w:r w:rsidR="00F720E7" w:rsidRPr="00DA7B66">
        <w:rPr>
          <w:color w:val="000000" w:themeColor="text1"/>
          <w:lang w:val="en-GB"/>
        </w:rPr>
        <w:t xml:space="preserve">all </w:t>
      </w:r>
      <w:r w:rsidR="00627D63" w:rsidRPr="00DA7B66">
        <w:rPr>
          <w:color w:val="000000" w:themeColor="text1"/>
          <w:lang w:val="en-GB"/>
        </w:rPr>
        <w:t>levels in education</w:t>
      </w:r>
      <w:r w:rsidR="004E6721" w:rsidRPr="00DA7B66">
        <w:rPr>
          <w:color w:val="000000" w:themeColor="text1"/>
          <w:lang w:val="en-GB"/>
        </w:rPr>
        <w:t>,</w:t>
      </w:r>
      <w:r w:rsidR="003842D3" w:rsidRPr="00DA7B66">
        <w:rPr>
          <w:color w:val="000000" w:themeColor="text1"/>
          <w:lang w:val="en-GB"/>
        </w:rPr>
        <w:t xml:space="preserve"> as well as the fact that these inequalities seem to be partly attributed to </w:t>
      </w:r>
      <w:r w:rsidR="005E2E7D" w:rsidRPr="00DA7B66">
        <w:rPr>
          <w:color w:val="000000" w:themeColor="text1"/>
          <w:lang w:val="en-GB"/>
        </w:rPr>
        <w:t xml:space="preserve">the composition of the </w:t>
      </w:r>
      <w:r w:rsidR="003842D3" w:rsidRPr="00DA7B66">
        <w:rPr>
          <w:color w:val="000000" w:themeColor="text1"/>
          <w:lang w:val="en-GB"/>
        </w:rPr>
        <w:t>population (Bayón-Calvo et al., 2020)</w:t>
      </w:r>
      <w:r w:rsidR="00BC356D" w:rsidRPr="00DA7B66">
        <w:rPr>
          <w:color w:val="000000" w:themeColor="text1"/>
          <w:lang w:val="en-GB"/>
        </w:rPr>
        <w:t xml:space="preserve"> </w:t>
      </w:r>
      <w:r w:rsidRPr="00DA7B66">
        <w:rPr>
          <w:color w:val="000000" w:themeColor="text1"/>
          <w:lang w:val="en-GB"/>
        </w:rPr>
        <w:t xml:space="preserve">therefore demand that </w:t>
      </w:r>
      <w:r w:rsidR="00F720E7" w:rsidRPr="00DA7B66">
        <w:rPr>
          <w:color w:val="000000" w:themeColor="text1"/>
          <w:lang w:val="en-GB"/>
        </w:rPr>
        <w:t>policies</w:t>
      </w:r>
      <w:r w:rsidRPr="00DA7B66">
        <w:rPr>
          <w:color w:val="000000" w:themeColor="text1"/>
          <w:lang w:val="en-GB"/>
        </w:rPr>
        <w:t xml:space="preserve"> are designed with a</w:t>
      </w:r>
      <w:r w:rsidR="00F720E7" w:rsidRPr="00DA7B66">
        <w:rPr>
          <w:color w:val="000000" w:themeColor="text1"/>
          <w:lang w:val="en-GB"/>
        </w:rPr>
        <w:t xml:space="preserve"> focus on the specific regional context</w:t>
      </w:r>
      <w:r w:rsidR="003842D3" w:rsidRPr="00DA7B66">
        <w:rPr>
          <w:color w:val="000000" w:themeColor="text1"/>
          <w:lang w:val="en-GB"/>
        </w:rPr>
        <w:t>.</w:t>
      </w:r>
      <w:r w:rsidR="00BE48EC" w:rsidRPr="00DA7B66">
        <w:rPr>
          <w:color w:val="000000" w:themeColor="text1"/>
          <w:lang w:val="en-GB"/>
        </w:rPr>
        <w:t xml:space="preserve"> </w:t>
      </w:r>
      <w:r w:rsidR="00701A38" w:rsidRPr="00DA7B66">
        <w:rPr>
          <w:color w:val="000000" w:themeColor="text1"/>
          <w:lang w:val="en-GB"/>
        </w:rPr>
        <w:t>Donlevy et al. (2019)</w:t>
      </w:r>
      <w:r w:rsidR="00554794" w:rsidRPr="00DA7B66">
        <w:rPr>
          <w:color w:val="000000" w:themeColor="text1"/>
          <w:lang w:val="en-GB"/>
        </w:rPr>
        <w:t xml:space="preserve"> recogni</w:t>
      </w:r>
      <w:r w:rsidR="00A92053" w:rsidRPr="00DA7B66">
        <w:rPr>
          <w:color w:val="000000" w:themeColor="text1"/>
          <w:lang w:val="en-GB"/>
        </w:rPr>
        <w:t>s</w:t>
      </w:r>
      <w:r w:rsidR="00554794" w:rsidRPr="00DA7B66">
        <w:rPr>
          <w:color w:val="000000" w:themeColor="text1"/>
          <w:lang w:val="en-GB"/>
        </w:rPr>
        <w:t xml:space="preserve">e the important within-country patterns </w:t>
      </w:r>
      <w:r w:rsidR="00A92053" w:rsidRPr="00DA7B66">
        <w:rPr>
          <w:color w:val="000000" w:themeColor="text1"/>
          <w:lang w:val="en-GB"/>
        </w:rPr>
        <w:t>in</w:t>
      </w:r>
      <w:r w:rsidR="00554794" w:rsidRPr="00DA7B66">
        <w:rPr>
          <w:color w:val="000000" w:themeColor="text1"/>
          <w:lang w:val="en-GB"/>
        </w:rPr>
        <w:t xml:space="preserve"> </w:t>
      </w:r>
      <w:r w:rsidR="00BE46F9" w:rsidRPr="00DA7B66">
        <w:rPr>
          <w:color w:val="000000" w:themeColor="text1"/>
          <w:lang w:val="en-GB"/>
        </w:rPr>
        <w:t xml:space="preserve">early school </w:t>
      </w:r>
      <w:r w:rsidR="00BE46F9" w:rsidRPr="00F96EBF">
        <w:rPr>
          <w:color w:val="000000" w:themeColor="text1"/>
          <w:lang w:val="en-GB"/>
        </w:rPr>
        <w:t xml:space="preserve">leaving </w:t>
      </w:r>
      <w:r w:rsidR="00554794" w:rsidRPr="00F96EBF">
        <w:rPr>
          <w:color w:val="000000" w:themeColor="text1"/>
          <w:lang w:val="en-GB"/>
        </w:rPr>
        <w:t>at</w:t>
      </w:r>
      <w:r w:rsidR="00A92053" w:rsidRPr="00F96EBF">
        <w:rPr>
          <w:color w:val="000000" w:themeColor="text1"/>
          <w:lang w:val="en-GB"/>
        </w:rPr>
        <w:t xml:space="preserve"> the</w:t>
      </w:r>
      <w:r w:rsidR="00554794" w:rsidRPr="00F96EBF">
        <w:rPr>
          <w:color w:val="000000" w:themeColor="text1"/>
          <w:lang w:val="en-GB"/>
        </w:rPr>
        <w:t xml:space="preserve"> regional level and emphasi</w:t>
      </w:r>
      <w:r w:rsidR="00A92053" w:rsidRPr="00F96EBF">
        <w:rPr>
          <w:color w:val="000000" w:themeColor="text1"/>
          <w:lang w:val="en-GB"/>
        </w:rPr>
        <w:t>s</w:t>
      </w:r>
      <w:r w:rsidR="00554794" w:rsidRPr="00F96EBF">
        <w:rPr>
          <w:color w:val="000000" w:themeColor="text1"/>
          <w:lang w:val="en-GB"/>
        </w:rPr>
        <w:t xml:space="preserve">e the need </w:t>
      </w:r>
      <w:r w:rsidR="00A92053" w:rsidRPr="00F96EBF">
        <w:rPr>
          <w:color w:val="000000" w:themeColor="text1"/>
          <w:lang w:val="en-GB"/>
        </w:rPr>
        <w:t>for a</w:t>
      </w:r>
      <w:r w:rsidR="00554794" w:rsidRPr="00F96EBF">
        <w:rPr>
          <w:color w:val="000000" w:themeColor="text1"/>
          <w:lang w:val="en-GB"/>
        </w:rPr>
        <w:t xml:space="preserve"> governance scheme that it is based on a more sophisticated monitoring framework that includes clear lines of accountability between national and regional authorities. F</w:t>
      </w:r>
      <w:r w:rsidR="00E629D2" w:rsidRPr="00F96EBF">
        <w:rPr>
          <w:color w:val="000000" w:themeColor="text1"/>
          <w:lang w:val="en-GB"/>
        </w:rPr>
        <w:t xml:space="preserve">uture research </w:t>
      </w:r>
      <w:r w:rsidR="00BC356D" w:rsidRPr="00F96EBF">
        <w:rPr>
          <w:color w:val="000000" w:themeColor="text1"/>
          <w:lang w:val="en-GB"/>
        </w:rPr>
        <w:t xml:space="preserve">could include further </w:t>
      </w:r>
      <w:r w:rsidR="00E629D2" w:rsidRPr="00F96EBF">
        <w:rPr>
          <w:color w:val="000000" w:themeColor="text1"/>
          <w:lang w:val="en-GB"/>
        </w:rPr>
        <w:t>analy</w:t>
      </w:r>
      <w:r w:rsidR="00BC356D" w:rsidRPr="00F96EBF">
        <w:rPr>
          <w:color w:val="000000" w:themeColor="text1"/>
          <w:lang w:val="en-GB"/>
        </w:rPr>
        <w:t>sis of</w:t>
      </w:r>
      <w:r w:rsidR="00E629D2" w:rsidRPr="00F96EBF">
        <w:rPr>
          <w:color w:val="000000" w:themeColor="text1"/>
          <w:lang w:val="en-GB"/>
        </w:rPr>
        <w:t xml:space="preserve"> how and why </w:t>
      </w:r>
      <w:r w:rsidR="00E629D2" w:rsidRPr="00DA7B66">
        <w:rPr>
          <w:color w:val="000000" w:themeColor="text1"/>
          <w:lang w:val="en-GB"/>
        </w:rPr>
        <w:t xml:space="preserve">regional inequalities </w:t>
      </w:r>
      <w:r w:rsidR="00BC356D" w:rsidRPr="00DA7B66">
        <w:rPr>
          <w:color w:val="000000" w:themeColor="text1"/>
          <w:lang w:val="en-GB"/>
        </w:rPr>
        <w:t>come to be</w:t>
      </w:r>
      <w:r w:rsidR="00E629D2" w:rsidRPr="00DA7B66">
        <w:rPr>
          <w:color w:val="000000" w:themeColor="text1"/>
          <w:lang w:val="en-GB"/>
        </w:rPr>
        <w:t xml:space="preserve"> and </w:t>
      </w:r>
      <w:r w:rsidR="00A92053" w:rsidRPr="00DA7B66">
        <w:rPr>
          <w:color w:val="000000" w:themeColor="text1"/>
          <w:lang w:val="en-GB"/>
        </w:rPr>
        <w:t>could disentangle</w:t>
      </w:r>
      <w:r w:rsidR="00BC356D" w:rsidRPr="00DA7B66">
        <w:rPr>
          <w:color w:val="000000" w:themeColor="text1"/>
          <w:lang w:val="en-GB"/>
        </w:rPr>
        <w:t xml:space="preserve"> the </w:t>
      </w:r>
      <w:r w:rsidR="00B42AF3" w:rsidRPr="00DA7B66">
        <w:rPr>
          <w:color w:val="000000" w:themeColor="text1"/>
          <w:lang w:val="en-GB"/>
        </w:rPr>
        <w:t>effect</w:t>
      </w:r>
      <w:r w:rsidR="00BC356D" w:rsidRPr="00DA7B66">
        <w:rPr>
          <w:color w:val="000000" w:themeColor="text1"/>
          <w:lang w:val="en-GB"/>
        </w:rPr>
        <w:t>s</w:t>
      </w:r>
      <w:r w:rsidR="00B42AF3" w:rsidRPr="00DA7B66">
        <w:rPr>
          <w:color w:val="000000" w:themeColor="text1"/>
          <w:lang w:val="en-GB"/>
        </w:rPr>
        <w:t xml:space="preserve"> of specific measures in education performance from a regional perspective</w:t>
      </w:r>
      <w:r w:rsidR="00F503A5" w:rsidRPr="00DA7B66">
        <w:rPr>
          <w:color w:val="000000" w:themeColor="text1"/>
          <w:lang w:val="en-GB"/>
        </w:rPr>
        <w:t>.</w:t>
      </w:r>
      <w:r w:rsidR="00711A65" w:rsidRPr="00DA7B66">
        <w:rPr>
          <w:color w:val="000000" w:themeColor="text1"/>
          <w:lang w:val="en-GB"/>
        </w:rPr>
        <w:t xml:space="preserve"> In addition, more studies </w:t>
      </w:r>
      <w:r w:rsidR="00A92053" w:rsidRPr="00DA7B66">
        <w:rPr>
          <w:color w:val="000000" w:themeColor="text1"/>
          <w:lang w:val="en-GB"/>
        </w:rPr>
        <w:t xml:space="preserve">are needed </w:t>
      </w:r>
      <w:r w:rsidR="00711A65" w:rsidRPr="00DA7B66">
        <w:rPr>
          <w:color w:val="000000" w:themeColor="text1"/>
          <w:lang w:val="en-GB"/>
        </w:rPr>
        <w:t xml:space="preserve">that combine </w:t>
      </w:r>
      <w:r w:rsidR="00BC356D" w:rsidRPr="00F96EBF">
        <w:rPr>
          <w:color w:val="000000" w:themeColor="text1"/>
          <w:lang w:val="en-GB"/>
        </w:rPr>
        <w:t>a cross</w:t>
      </w:r>
      <w:r w:rsidR="00711A65" w:rsidRPr="00F96EBF">
        <w:rPr>
          <w:color w:val="000000" w:themeColor="text1"/>
          <w:lang w:val="en-GB"/>
        </w:rPr>
        <w:t>-regional approach with a focus on southern Europe.</w:t>
      </w:r>
    </w:p>
    <w:p w14:paraId="7FB87478" w14:textId="77777777" w:rsidR="005E2E7D" w:rsidRPr="00F96EBF" w:rsidRDefault="005E2E7D" w:rsidP="005E2E7D">
      <w:pPr>
        <w:jc w:val="both"/>
        <w:rPr>
          <w:color w:val="000000" w:themeColor="text1"/>
          <w:lang w:val="en-GB"/>
        </w:rPr>
      </w:pPr>
    </w:p>
    <w:p w14:paraId="7B0CBAD8" w14:textId="6D13D844" w:rsidR="00E058B0" w:rsidRDefault="00BC356D" w:rsidP="00EC2CAF">
      <w:pPr>
        <w:jc w:val="both"/>
        <w:rPr>
          <w:color w:val="000000" w:themeColor="text1"/>
          <w:lang w:val="en-GB"/>
        </w:rPr>
      </w:pPr>
      <w:proofErr w:type="gramStart"/>
      <w:r w:rsidRPr="00F96EBF">
        <w:rPr>
          <w:color w:val="000000" w:themeColor="text1"/>
          <w:lang w:val="en-GB"/>
        </w:rPr>
        <w:t>With regard to</w:t>
      </w:r>
      <w:proofErr w:type="gramEnd"/>
      <w:r w:rsidRPr="00F96EBF">
        <w:rPr>
          <w:color w:val="000000" w:themeColor="text1"/>
          <w:lang w:val="en-GB"/>
        </w:rPr>
        <w:t xml:space="preserve"> </w:t>
      </w:r>
      <w:r w:rsidRPr="00DA7B66">
        <w:rPr>
          <w:color w:val="000000" w:themeColor="text1"/>
          <w:lang w:val="en-GB"/>
        </w:rPr>
        <w:t>gender, t</w:t>
      </w:r>
      <w:r w:rsidR="00E058B0" w:rsidRPr="00DA7B66">
        <w:rPr>
          <w:color w:val="000000" w:themeColor="text1"/>
          <w:lang w:val="en-GB"/>
        </w:rPr>
        <w:t xml:space="preserve">he predictive power of the educational phenomena studied </w:t>
      </w:r>
      <w:r w:rsidRPr="00DA7B66">
        <w:rPr>
          <w:color w:val="000000" w:themeColor="text1"/>
          <w:lang w:val="en-GB"/>
        </w:rPr>
        <w:t>was</w:t>
      </w:r>
      <w:r w:rsidR="00E058B0" w:rsidRPr="00DA7B66">
        <w:rPr>
          <w:color w:val="000000" w:themeColor="text1"/>
          <w:lang w:val="en-GB"/>
        </w:rPr>
        <w:t xml:space="preserve"> considerably greater </w:t>
      </w:r>
      <w:r w:rsidR="005E2E7D" w:rsidRPr="00DA7B66">
        <w:rPr>
          <w:color w:val="000000" w:themeColor="text1"/>
          <w:lang w:val="en-GB"/>
        </w:rPr>
        <w:t>for</w:t>
      </w:r>
      <w:r w:rsidR="00E058B0" w:rsidRPr="00DA7B66">
        <w:rPr>
          <w:color w:val="000000" w:themeColor="text1"/>
          <w:lang w:val="en-GB"/>
        </w:rPr>
        <w:t xml:space="preserve"> men. This </w:t>
      </w:r>
      <w:r w:rsidR="005E2E7D" w:rsidRPr="00DA7B66">
        <w:rPr>
          <w:color w:val="000000" w:themeColor="text1"/>
          <w:lang w:val="en-GB"/>
        </w:rPr>
        <w:t>may</w:t>
      </w:r>
      <w:r w:rsidRPr="00DA7B66">
        <w:rPr>
          <w:color w:val="000000" w:themeColor="text1"/>
          <w:lang w:val="en-GB"/>
        </w:rPr>
        <w:t xml:space="preserve"> </w:t>
      </w:r>
      <w:r w:rsidR="00E058B0" w:rsidRPr="00DA7B66">
        <w:rPr>
          <w:color w:val="000000" w:themeColor="text1"/>
          <w:lang w:val="en-GB"/>
        </w:rPr>
        <w:t xml:space="preserve">reflect </w:t>
      </w:r>
      <w:r w:rsidR="005E2E7D" w:rsidRPr="00DA7B66">
        <w:rPr>
          <w:color w:val="000000" w:themeColor="text1"/>
          <w:lang w:val="en-GB"/>
        </w:rPr>
        <w:t>negative effects of</w:t>
      </w:r>
      <w:r w:rsidR="00E058B0" w:rsidRPr="00DA7B66">
        <w:rPr>
          <w:color w:val="000000" w:themeColor="text1"/>
          <w:lang w:val="en-GB"/>
        </w:rPr>
        <w:t xml:space="preserve"> gender </w:t>
      </w:r>
      <w:r w:rsidR="00E058B0" w:rsidRPr="00F96EBF">
        <w:rPr>
          <w:color w:val="000000" w:themeColor="text1"/>
          <w:lang w:val="en-GB"/>
        </w:rPr>
        <w:t>sociali</w:t>
      </w:r>
      <w:r w:rsidR="00397BE8" w:rsidRPr="00F96EBF">
        <w:rPr>
          <w:color w:val="000000" w:themeColor="text1"/>
          <w:lang w:val="en-GB"/>
        </w:rPr>
        <w:t>s</w:t>
      </w:r>
      <w:r w:rsidR="00E058B0" w:rsidRPr="00F96EBF">
        <w:rPr>
          <w:color w:val="000000" w:themeColor="text1"/>
          <w:lang w:val="en-GB"/>
        </w:rPr>
        <w:t xml:space="preserve">ation </w:t>
      </w:r>
      <w:r w:rsidR="00397BE8" w:rsidRPr="00F96EBF">
        <w:rPr>
          <w:color w:val="000000" w:themeColor="text1"/>
          <w:lang w:val="en-GB"/>
        </w:rPr>
        <w:t xml:space="preserve">on boys </w:t>
      </w:r>
      <w:r w:rsidR="00E058B0" w:rsidRPr="00F96EBF">
        <w:rPr>
          <w:color w:val="000000" w:themeColor="text1"/>
          <w:lang w:val="en-GB"/>
        </w:rPr>
        <w:t xml:space="preserve">from </w:t>
      </w:r>
      <w:r w:rsidRPr="00F96EBF">
        <w:rPr>
          <w:color w:val="000000" w:themeColor="text1"/>
          <w:lang w:val="en-GB"/>
        </w:rPr>
        <w:t xml:space="preserve">the </w:t>
      </w:r>
      <w:r w:rsidR="00E058B0" w:rsidRPr="00F96EBF">
        <w:rPr>
          <w:color w:val="000000" w:themeColor="text1"/>
          <w:lang w:val="en-GB"/>
        </w:rPr>
        <w:t xml:space="preserve">early stages of education, resulting in schooling decisions that are strongly conditioned by </w:t>
      </w:r>
      <w:r w:rsidR="00E058B0" w:rsidRPr="00DA7B66">
        <w:rPr>
          <w:color w:val="000000" w:themeColor="text1"/>
          <w:lang w:val="en-GB"/>
        </w:rPr>
        <w:t xml:space="preserve">gender. It is also worth asking whether these theoretically negative effects </w:t>
      </w:r>
      <w:r w:rsidR="00397BE8" w:rsidRPr="00DA7B66">
        <w:rPr>
          <w:color w:val="000000" w:themeColor="text1"/>
          <w:lang w:val="en-GB"/>
        </w:rPr>
        <w:t xml:space="preserve">are </w:t>
      </w:r>
      <w:r w:rsidR="00E058B0" w:rsidRPr="00DA7B66">
        <w:rPr>
          <w:color w:val="000000" w:themeColor="text1"/>
          <w:lang w:val="en-GB"/>
        </w:rPr>
        <w:t>perceived as such by students. Thus</w:t>
      </w:r>
      <w:r w:rsidR="00E058B0" w:rsidRPr="00F96EBF">
        <w:rPr>
          <w:color w:val="000000" w:themeColor="text1"/>
          <w:lang w:val="en-GB"/>
        </w:rPr>
        <w:t>,</w:t>
      </w:r>
      <w:r w:rsidR="004C77DE" w:rsidRPr="00F96EBF">
        <w:rPr>
          <w:color w:val="000000" w:themeColor="text1"/>
          <w:lang w:val="en-GB"/>
        </w:rPr>
        <w:t xml:space="preserve"> </w:t>
      </w:r>
      <w:r w:rsidRPr="00F96EBF">
        <w:rPr>
          <w:color w:val="000000" w:themeColor="text1"/>
          <w:lang w:val="en-GB"/>
        </w:rPr>
        <w:t xml:space="preserve">and bearing in mind the findings </w:t>
      </w:r>
      <w:r w:rsidR="004C77DE" w:rsidRPr="00F96EBF">
        <w:rPr>
          <w:color w:val="000000" w:themeColor="text1"/>
          <w:lang w:val="en-GB"/>
        </w:rPr>
        <w:t xml:space="preserve">of </w:t>
      </w:r>
      <w:proofErr w:type="spellStart"/>
      <w:r w:rsidR="004C77DE" w:rsidRPr="00F96EBF">
        <w:rPr>
          <w:color w:val="000000" w:themeColor="text1"/>
          <w:lang w:val="en-GB"/>
        </w:rPr>
        <w:t>Struffolino</w:t>
      </w:r>
      <w:proofErr w:type="spellEnd"/>
      <w:r w:rsidR="004C77DE" w:rsidRPr="00F96EBF">
        <w:rPr>
          <w:color w:val="000000" w:themeColor="text1"/>
          <w:lang w:val="en-GB"/>
        </w:rPr>
        <w:t xml:space="preserve"> </w:t>
      </w:r>
      <w:r w:rsidR="00773A00" w:rsidRPr="00F96EBF">
        <w:rPr>
          <w:color w:val="000000" w:themeColor="text1"/>
          <w:lang w:val="en-GB"/>
        </w:rPr>
        <w:lastRenderedPageBreak/>
        <w:t xml:space="preserve">and </w:t>
      </w:r>
      <w:r w:rsidR="00813E8F">
        <w:rPr>
          <w:color w:val="000000" w:themeColor="text1"/>
          <w:lang w:val="en-GB"/>
        </w:rPr>
        <w:t>Borgna (2021</w:t>
      </w:r>
      <w:r w:rsidR="004C77DE" w:rsidRPr="00F96EBF">
        <w:rPr>
          <w:color w:val="000000" w:themeColor="text1"/>
          <w:lang w:val="en-GB"/>
        </w:rPr>
        <w:t>),</w:t>
      </w:r>
      <w:r w:rsidR="00E058B0" w:rsidRPr="00F96EBF">
        <w:rPr>
          <w:color w:val="000000" w:themeColor="text1"/>
          <w:lang w:val="en-GB"/>
        </w:rPr>
        <w:t xml:space="preserve"> it would be </w:t>
      </w:r>
      <w:r w:rsidRPr="00F96EBF">
        <w:rPr>
          <w:color w:val="000000" w:themeColor="text1"/>
          <w:lang w:val="en-GB"/>
        </w:rPr>
        <w:t xml:space="preserve">useful </w:t>
      </w:r>
      <w:r w:rsidR="00E058B0" w:rsidRPr="00F96EBF">
        <w:rPr>
          <w:color w:val="000000" w:themeColor="text1"/>
          <w:lang w:val="en-GB"/>
        </w:rPr>
        <w:t xml:space="preserve">to understand the possible contradiction between </w:t>
      </w:r>
      <w:r w:rsidR="002F3988" w:rsidRPr="00F96EBF">
        <w:rPr>
          <w:color w:val="000000" w:themeColor="text1"/>
          <w:lang w:val="en-GB"/>
        </w:rPr>
        <w:t xml:space="preserve">the </w:t>
      </w:r>
      <w:r w:rsidR="00E058B0" w:rsidRPr="00F96EBF">
        <w:rPr>
          <w:color w:val="000000" w:themeColor="text1"/>
          <w:lang w:val="en-GB"/>
        </w:rPr>
        <w:t xml:space="preserve">perceptions of </w:t>
      </w:r>
      <w:r w:rsidR="002F3988" w:rsidRPr="00F96EBF">
        <w:rPr>
          <w:color w:val="000000" w:themeColor="text1"/>
          <w:lang w:val="en-GB"/>
        </w:rPr>
        <w:t xml:space="preserve">a </w:t>
      </w:r>
      <w:r w:rsidR="00E058B0" w:rsidRPr="00F96EBF">
        <w:rPr>
          <w:color w:val="000000" w:themeColor="text1"/>
          <w:lang w:val="en-GB"/>
        </w:rPr>
        <w:t xml:space="preserve">decision to leave the education system early and the </w:t>
      </w:r>
      <w:r w:rsidRPr="00F96EBF">
        <w:rPr>
          <w:color w:val="000000" w:themeColor="text1"/>
          <w:lang w:val="en-GB"/>
        </w:rPr>
        <w:t xml:space="preserve">multiple </w:t>
      </w:r>
      <w:r w:rsidR="00E058B0" w:rsidRPr="00F96EBF">
        <w:rPr>
          <w:color w:val="000000" w:themeColor="text1"/>
          <w:lang w:val="en-GB"/>
        </w:rPr>
        <w:t xml:space="preserve">effects </w:t>
      </w:r>
      <w:r w:rsidR="002F3988" w:rsidRPr="00F96EBF">
        <w:rPr>
          <w:color w:val="000000" w:themeColor="text1"/>
          <w:lang w:val="en-GB"/>
        </w:rPr>
        <w:t>such a decision can have</w:t>
      </w:r>
      <w:r w:rsidR="00E058B0" w:rsidRPr="00F96EBF">
        <w:rPr>
          <w:color w:val="000000" w:themeColor="text1"/>
          <w:lang w:val="en-GB"/>
        </w:rPr>
        <w:t xml:space="preserve"> on remuneration, job security</w:t>
      </w:r>
      <w:r w:rsidR="002F3988" w:rsidRPr="00F96EBF">
        <w:rPr>
          <w:color w:val="000000" w:themeColor="text1"/>
          <w:lang w:val="en-GB"/>
        </w:rPr>
        <w:t>,</w:t>
      </w:r>
      <w:r w:rsidR="00E058B0" w:rsidRPr="00F96EBF">
        <w:rPr>
          <w:color w:val="000000" w:themeColor="text1"/>
          <w:lang w:val="en-GB"/>
        </w:rPr>
        <w:t xml:space="preserve"> health,</w:t>
      </w:r>
      <w:r w:rsidR="002F3988" w:rsidRPr="00F96EBF">
        <w:rPr>
          <w:color w:val="000000" w:themeColor="text1"/>
          <w:lang w:val="en-GB"/>
        </w:rPr>
        <w:t xml:space="preserve"> and so on.</w:t>
      </w:r>
    </w:p>
    <w:p w14:paraId="29CB4D08" w14:textId="77777777" w:rsidR="005E2E7D" w:rsidRPr="00F96EBF" w:rsidRDefault="005E2E7D" w:rsidP="006D08A5">
      <w:pPr>
        <w:rPr>
          <w:color w:val="000000" w:themeColor="text1"/>
          <w:lang w:val="en-GB"/>
        </w:rPr>
      </w:pPr>
    </w:p>
    <w:p w14:paraId="3268FA30" w14:textId="3B47CF01" w:rsidR="00E058B0" w:rsidRDefault="00E058B0" w:rsidP="006D08A5">
      <w:pPr>
        <w:rPr>
          <w:color w:val="000000" w:themeColor="text1"/>
          <w:lang w:val="en-GB"/>
        </w:rPr>
      </w:pPr>
      <w:r w:rsidRPr="00F96EBF">
        <w:rPr>
          <w:color w:val="000000" w:themeColor="text1"/>
          <w:lang w:val="en-GB"/>
        </w:rPr>
        <w:t xml:space="preserve">In sum, early school leaving should be understood as </w:t>
      </w:r>
      <w:proofErr w:type="gramStart"/>
      <w:r w:rsidRPr="00F96EBF">
        <w:rPr>
          <w:color w:val="000000" w:themeColor="text1"/>
          <w:lang w:val="en-GB"/>
        </w:rPr>
        <w:t>the end result</w:t>
      </w:r>
      <w:proofErr w:type="gramEnd"/>
      <w:r w:rsidRPr="00F96EBF">
        <w:rPr>
          <w:color w:val="000000" w:themeColor="text1"/>
          <w:lang w:val="en-GB"/>
        </w:rPr>
        <w:t xml:space="preserve"> of a process of disengagement that </w:t>
      </w:r>
      <w:r w:rsidR="002F3988" w:rsidRPr="00DA7B66">
        <w:rPr>
          <w:color w:val="000000" w:themeColor="text1"/>
          <w:lang w:val="en-GB"/>
        </w:rPr>
        <w:t>begins with poor early scholastic</w:t>
      </w:r>
      <w:r w:rsidR="002D32CF" w:rsidRPr="00DA7B66">
        <w:rPr>
          <w:color w:val="000000" w:themeColor="text1"/>
          <w:lang w:val="en-GB"/>
        </w:rPr>
        <w:t xml:space="preserve"> performance</w:t>
      </w:r>
      <w:r w:rsidR="002F3988" w:rsidRPr="00DA7B66">
        <w:rPr>
          <w:color w:val="000000" w:themeColor="text1"/>
          <w:lang w:val="en-GB"/>
        </w:rPr>
        <w:t xml:space="preserve">. </w:t>
      </w:r>
      <w:r w:rsidR="00FB0C28" w:rsidRPr="00DA7B66">
        <w:rPr>
          <w:color w:val="000000" w:themeColor="text1"/>
          <w:lang w:val="en-GB"/>
        </w:rPr>
        <w:t xml:space="preserve">The gender and regional dimensions of </w:t>
      </w:r>
      <w:r w:rsidR="00BE46F9" w:rsidRPr="00DA7B66">
        <w:rPr>
          <w:color w:val="000000" w:themeColor="text1"/>
          <w:lang w:val="en-GB"/>
        </w:rPr>
        <w:t xml:space="preserve">early school leaving </w:t>
      </w:r>
      <w:r w:rsidR="00EC2CAF" w:rsidRPr="00DA7B66">
        <w:rPr>
          <w:color w:val="000000" w:themeColor="text1"/>
          <w:lang w:val="en-GB"/>
        </w:rPr>
        <w:t>should</w:t>
      </w:r>
      <w:r w:rsidRPr="00DA7B66">
        <w:rPr>
          <w:color w:val="000000" w:themeColor="text1"/>
          <w:lang w:val="en-GB"/>
        </w:rPr>
        <w:t xml:space="preserve"> be taken </w:t>
      </w:r>
      <w:r w:rsidRPr="00F96EBF">
        <w:rPr>
          <w:color w:val="000000" w:themeColor="text1"/>
          <w:lang w:val="en-GB"/>
        </w:rPr>
        <w:t xml:space="preserve">into consideration </w:t>
      </w:r>
      <w:r w:rsidR="00FB0C28" w:rsidRPr="00F96EBF">
        <w:rPr>
          <w:color w:val="000000" w:themeColor="text1"/>
          <w:lang w:val="en-GB"/>
        </w:rPr>
        <w:t xml:space="preserve">if </w:t>
      </w:r>
      <w:r w:rsidRPr="00F96EBF">
        <w:rPr>
          <w:color w:val="000000" w:themeColor="text1"/>
          <w:lang w:val="en-GB"/>
        </w:rPr>
        <w:t>specific</w:t>
      </w:r>
      <w:r w:rsidR="00FB0C28" w:rsidRPr="00F96EBF">
        <w:rPr>
          <w:color w:val="000000" w:themeColor="text1"/>
          <w:lang w:val="en-GB"/>
        </w:rPr>
        <w:t>,</w:t>
      </w:r>
      <w:r w:rsidRPr="00F96EBF">
        <w:rPr>
          <w:color w:val="000000" w:themeColor="text1"/>
          <w:lang w:val="en-GB"/>
        </w:rPr>
        <w:t xml:space="preserve"> targeted</w:t>
      </w:r>
      <w:r w:rsidR="00FB0C28" w:rsidRPr="00F96EBF">
        <w:rPr>
          <w:color w:val="000000" w:themeColor="text1"/>
          <w:lang w:val="en-GB"/>
        </w:rPr>
        <w:t>, and effective</w:t>
      </w:r>
      <w:r w:rsidRPr="00F96EBF">
        <w:rPr>
          <w:color w:val="000000" w:themeColor="text1"/>
          <w:lang w:val="en-GB"/>
        </w:rPr>
        <w:t xml:space="preserve"> policies and measures</w:t>
      </w:r>
      <w:r w:rsidR="00FB0C28" w:rsidRPr="00F96EBF">
        <w:rPr>
          <w:color w:val="000000" w:themeColor="text1"/>
          <w:lang w:val="en-GB"/>
        </w:rPr>
        <w:t xml:space="preserve"> are to be implemented.</w:t>
      </w:r>
      <w:r w:rsidR="00F720E7" w:rsidRPr="00F96EBF">
        <w:rPr>
          <w:color w:val="000000" w:themeColor="text1"/>
          <w:lang w:val="en-GB"/>
        </w:rPr>
        <w:t xml:space="preserve"> </w:t>
      </w:r>
    </w:p>
    <w:p w14:paraId="537FAC12" w14:textId="77777777" w:rsidR="00435682" w:rsidRPr="00F96EBF" w:rsidRDefault="00435682" w:rsidP="006D08A5">
      <w:pPr>
        <w:rPr>
          <w:color w:val="000000" w:themeColor="text1"/>
          <w:lang w:val="en-GB"/>
        </w:rPr>
      </w:pPr>
    </w:p>
    <w:p w14:paraId="0DAFDC1B" w14:textId="1E986DFA" w:rsidR="00512A3D" w:rsidRPr="00435682" w:rsidRDefault="00435682" w:rsidP="006D08A5">
      <w:pPr>
        <w:pStyle w:val="Ttulo2"/>
        <w:spacing w:before="0" w:after="0"/>
        <w:jc w:val="left"/>
        <w:rPr>
          <w:rFonts w:cs="Times New Roman"/>
          <w:caps w:val="0"/>
          <w:sz w:val="28"/>
          <w:szCs w:val="28"/>
        </w:rPr>
      </w:pPr>
      <w:r w:rsidRPr="00435682">
        <w:rPr>
          <w:rFonts w:cs="Times New Roman"/>
          <w:caps w:val="0"/>
          <w:sz w:val="28"/>
          <w:szCs w:val="28"/>
        </w:rPr>
        <w:t xml:space="preserve">5.1 </w:t>
      </w:r>
      <w:r w:rsidR="00D4334C" w:rsidRPr="00435682">
        <w:rPr>
          <w:rFonts w:cs="Times New Roman"/>
          <w:caps w:val="0"/>
          <w:sz w:val="28"/>
          <w:szCs w:val="28"/>
        </w:rPr>
        <w:t>L</w:t>
      </w:r>
      <w:r w:rsidR="00512A3D" w:rsidRPr="00435682">
        <w:rPr>
          <w:rFonts w:cs="Times New Roman"/>
          <w:caps w:val="0"/>
          <w:sz w:val="28"/>
          <w:szCs w:val="28"/>
        </w:rPr>
        <w:t>imitations</w:t>
      </w:r>
      <w:r w:rsidR="00D4334C" w:rsidRPr="00435682">
        <w:rPr>
          <w:rFonts w:cs="Times New Roman"/>
          <w:caps w:val="0"/>
          <w:sz w:val="28"/>
          <w:szCs w:val="28"/>
        </w:rPr>
        <w:t xml:space="preserve"> of the study</w:t>
      </w:r>
    </w:p>
    <w:p w14:paraId="54C5AC60" w14:textId="49164BF7" w:rsidR="004C77DE" w:rsidRDefault="00EC2CAF" w:rsidP="00F95B9B">
      <w:pPr>
        <w:jc w:val="both"/>
        <w:rPr>
          <w:color w:val="000000" w:themeColor="text1"/>
          <w:lang w:val="en-GB"/>
        </w:rPr>
      </w:pPr>
      <w:r w:rsidRPr="00DA7B66">
        <w:rPr>
          <w:color w:val="000000" w:themeColor="text1"/>
          <w:lang w:val="en-GB"/>
        </w:rPr>
        <w:t>We</w:t>
      </w:r>
      <w:r w:rsidR="00E058B0" w:rsidRPr="00DA7B66">
        <w:rPr>
          <w:color w:val="000000" w:themeColor="text1"/>
          <w:lang w:val="en-GB"/>
        </w:rPr>
        <w:t xml:space="preserve"> acknowledge limitations </w:t>
      </w:r>
      <w:r w:rsidRPr="00DA7B66">
        <w:rPr>
          <w:color w:val="000000" w:themeColor="text1"/>
          <w:lang w:val="en-GB"/>
        </w:rPr>
        <w:t xml:space="preserve">to the study on which this article reports. </w:t>
      </w:r>
      <w:r w:rsidR="00E058B0" w:rsidRPr="00DA7B66">
        <w:rPr>
          <w:color w:val="000000" w:themeColor="text1"/>
          <w:lang w:val="en-GB"/>
        </w:rPr>
        <w:t>First, it should be noted that</w:t>
      </w:r>
      <w:r w:rsidRPr="00DA7B66">
        <w:rPr>
          <w:color w:val="000000" w:themeColor="text1"/>
          <w:lang w:val="en-GB"/>
        </w:rPr>
        <w:t xml:space="preserve"> we analysed</w:t>
      </w:r>
      <w:r w:rsidR="00E058B0" w:rsidRPr="00DA7B66">
        <w:rPr>
          <w:color w:val="000000" w:themeColor="text1"/>
          <w:lang w:val="en-GB"/>
        </w:rPr>
        <w:t xml:space="preserve"> variables resulting from other educational phenomena </w:t>
      </w:r>
      <w:r w:rsidR="008C1BA5" w:rsidRPr="00DA7B66">
        <w:rPr>
          <w:color w:val="000000" w:themeColor="text1"/>
          <w:lang w:val="en-GB"/>
        </w:rPr>
        <w:t xml:space="preserve">and </w:t>
      </w:r>
      <w:r w:rsidRPr="00DA7B66">
        <w:rPr>
          <w:color w:val="000000" w:themeColor="text1"/>
          <w:lang w:val="en-GB"/>
        </w:rPr>
        <w:t xml:space="preserve">used </w:t>
      </w:r>
      <w:r w:rsidR="00E058B0" w:rsidRPr="00DA7B66">
        <w:rPr>
          <w:color w:val="000000" w:themeColor="text1"/>
          <w:lang w:val="en-GB"/>
        </w:rPr>
        <w:t xml:space="preserve">region and gender as reference variables. </w:t>
      </w:r>
      <w:r w:rsidRPr="00DA7B66">
        <w:rPr>
          <w:color w:val="000000" w:themeColor="text1"/>
          <w:lang w:val="en-GB"/>
        </w:rPr>
        <w:t>E</w:t>
      </w:r>
      <w:r w:rsidR="00BE46F9" w:rsidRPr="00DA7B66">
        <w:rPr>
          <w:color w:val="000000" w:themeColor="text1"/>
          <w:lang w:val="en-GB"/>
        </w:rPr>
        <w:t xml:space="preserve">arly school leaving </w:t>
      </w:r>
      <w:r w:rsidR="00E058B0" w:rsidRPr="00DA7B66">
        <w:rPr>
          <w:color w:val="000000" w:themeColor="text1"/>
          <w:lang w:val="en-GB"/>
        </w:rPr>
        <w:t>is</w:t>
      </w:r>
      <w:r w:rsidR="00881DAC" w:rsidRPr="00DA7B66">
        <w:rPr>
          <w:color w:val="000000" w:themeColor="text1"/>
          <w:lang w:val="en-GB"/>
        </w:rPr>
        <w:t xml:space="preserve"> </w:t>
      </w:r>
      <w:r w:rsidR="00E058B0" w:rsidRPr="00DA7B66">
        <w:rPr>
          <w:color w:val="000000" w:themeColor="text1"/>
          <w:lang w:val="en-GB"/>
        </w:rPr>
        <w:t>a social problem with multiple causes and dynamics</w:t>
      </w:r>
      <w:r w:rsidR="00FB0C28" w:rsidRPr="00DA7B66">
        <w:rPr>
          <w:color w:val="000000" w:themeColor="text1"/>
          <w:lang w:val="en-GB"/>
        </w:rPr>
        <w:t>. It reflects and intersects</w:t>
      </w:r>
      <w:r w:rsidR="00E058B0" w:rsidRPr="00DA7B66">
        <w:rPr>
          <w:color w:val="000000" w:themeColor="text1"/>
          <w:lang w:val="en-GB"/>
        </w:rPr>
        <w:t xml:space="preserve"> social class, status, ethnicity, </w:t>
      </w:r>
      <w:r w:rsidR="00015B63" w:rsidRPr="00DA7B66">
        <w:rPr>
          <w:color w:val="000000" w:themeColor="text1"/>
          <w:lang w:val="en-GB"/>
        </w:rPr>
        <w:t xml:space="preserve">poverty and social exclusion, </w:t>
      </w:r>
      <w:r w:rsidR="00E058B0" w:rsidRPr="00DA7B66">
        <w:rPr>
          <w:color w:val="000000" w:themeColor="text1"/>
          <w:lang w:val="en-GB"/>
        </w:rPr>
        <w:t>education system</w:t>
      </w:r>
      <w:r w:rsidR="00FB0C28" w:rsidRPr="00DA7B66">
        <w:rPr>
          <w:color w:val="000000" w:themeColor="text1"/>
          <w:lang w:val="en-GB"/>
        </w:rPr>
        <w:t>s,</w:t>
      </w:r>
      <w:r w:rsidR="00E058B0" w:rsidRPr="00DA7B66">
        <w:rPr>
          <w:color w:val="000000" w:themeColor="text1"/>
          <w:lang w:val="en-GB"/>
        </w:rPr>
        <w:t xml:space="preserve"> and </w:t>
      </w:r>
      <w:r w:rsidR="00FB0C28" w:rsidRPr="00DA7B66">
        <w:rPr>
          <w:color w:val="000000" w:themeColor="text1"/>
          <w:lang w:val="en-GB"/>
        </w:rPr>
        <w:t xml:space="preserve">many </w:t>
      </w:r>
      <w:r w:rsidR="00E058B0" w:rsidRPr="00DA7B66">
        <w:rPr>
          <w:color w:val="000000" w:themeColor="text1"/>
          <w:lang w:val="en-GB"/>
        </w:rPr>
        <w:t xml:space="preserve">other social </w:t>
      </w:r>
      <w:r w:rsidR="00FB0C28" w:rsidRPr="00DA7B66">
        <w:rPr>
          <w:color w:val="000000" w:themeColor="text1"/>
          <w:lang w:val="en-GB"/>
        </w:rPr>
        <w:t>forces</w:t>
      </w:r>
      <w:r w:rsidR="00A0261D">
        <w:rPr>
          <w:color w:val="000000" w:themeColor="text1"/>
          <w:lang w:val="en-GB"/>
        </w:rPr>
        <w:t xml:space="preserve"> (Carrasco et al.</w:t>
      </w:r>
      <w:r w:rsidR="00E058B0" w:rsidRPr="00DA7B66">
        <w:rPr>
          <w:color w:val="000000" w:themeColor="text1"/>
          <w:lang w:val="en-GB"/>
        </w:rPr>
        <w:t>, 2018; Fernández-</w:t>
      </w:r>
      <w:proofErr w:type="spellStart"/>
      <w:r w:rsidR="00E058B0" w:rsidRPr="00DA7B66">
        <w:rPr>
          <w:color w:val="000000" w:themeColor="text1"/>
          <w:lang w:val="en-GB"/>
        </w:rPr>
        <w:t>Mellizo</w:t>
      </w:r>
      <w:proofErr w:type="spellEnd"/>
      <w:r w:rsidR="00E058B0" w:rsidRPr="00DA7B66">
        <w:rPr>
          <w:color w:val="000000" w:themeColor="text1"/>
          <w:lang w:val="en-GB"/>
        </w:rPr>
        <w:t xml:space="preserve"> &amp; Martínez-García, 2017; </w:t>
      </w:r>
      <w:proofErr w:type="spellStart"/>
      <w:r w:rsidR="00E058B0" w:rsidRPr="00DA7B66">
        <w:rPr>
          <w:color w:val="000000" w:themeColor="text1"/>
          <w:lang w:val="en-GB"/>
        </w:rPr>
        <w:t>Tarabini</w:t>
      </w:r>
      <w:proofErr w:type="spellEnd"/>
      <w:r w:rsidR="00E058B0" w:rsidRPr="00DA7B66">
        <w:rPr>
          <w:color w:val="000000" w:themeColor="text1"/>
          <w:lang w:val="en-GB"/>
        </w:rPr>
        <w:t xml:space="preserve">, Curran, Montes, &amp; </w:t>
      </w:r>
      <w:proofErr w:type="spellStart"/>
      <w:r w:rsidR="00E058B0" w:rsidRPr="00DA7B66">
        <w:rPr>
          <w:color w:val="000000" w:themeColor="text1"/>
          <w:lang w:val="en-GB"/>
        </w:rPr>
        <w:t>Parcerisa</w:t>
      </w:r>
      <w:proofErr w:type="spellEnd"/>
      <w:r w:rsidR="00E058B0" w:rsidRPr="00DA7B66">
        <w:rPr>
          <w:color w:val="000000" w:themeColor="text1"/>
          <w:lang w:val="en-GB"/>
        </w:rPr>
        <w:t>, 2015)</w:t>
      </w:r>
      <w:r w:rsidR="00881DAC" w:rsidRPr="00DA7B66">
        <w:rPr>
          <w:color w:val="000000" w:themeColor="text1"/>
          <w:lang w:val="en-GB"/>
        </w:rPr>
        <w:t xml:space="preserve">, all </w:t>
      </w:r>
      <w:r w:rsidRPr="00DA7B66">
        <w:rPr>
          <w:color w:val="000000" w:themeColor="text1"/>
          <w:lang w:val="en-GB"/>
        </w:rPr>
        <w:t xml:space="preserve">of which </w:t>
      </w:r>
      <w:r w:rsidR="00B0490C" w:rsidRPr="00DA7B66">
        <w:rPr>
          <w:color w:val="000000" w:themeColor="text1"/>
          <w:lang w:val="en-GB"/>
        </w:rPr>
        <w:t>should</w:t>
      </w:r>
      <w:r w:rsidR="00E058B0" w:rsidRPr="00DA7B66">
        <w:rPr>
          <w:color w:val="000000" w:themeColor="text1"/>
          <w:lang w:val="en-GB"/>
        </w:rPr>
        <w:t xml:space="preserve"> </w:t>
      </w:r>
      <w:r w:rsidR="00E058B0" w:rsidRPr="00F96EBF">
        <w:rPr>
          <w:color w:val="000000" w:themeColor="text1"/>
          <w:lang w:val="en-GB"/>
        </w:rPr>
        <w:t xml:space="preserve">be considered when studying this phenomenon from a wider </w:t>
      </w:r>
      <w:r w:rsidR="00FB0C28" w:rsidRPr="00F96EBF">
        <w:rPr>
          <w:color w:val="000000" w:themeColor="text1"/>
          <w:lang w:val="en-GB"/>
        </w:rPr>
        <w:t>perspective</w:t>
      </w:r>
      <w:r w:rsidR="00E058B0" w:rsidRPr="00F96EBF">
        <w:rPr>
          <w:color w:val="000000" w:themeColor="text1"/>
          <w:lang w:val="en-GB"/>
        </w:rPr>
        <w:t>.</w:t>
      </w:r>
      <w:r w:rsidR="00F037B4" w:rsidRPr="00F96EBF">
        <w:rPr>
          <w:color w:val="000000" w:themeColor="text1"/>
          <w:lang w:val="en-GB"/>
        </w:rPr>
        <w:t xml:space="preserve"> </w:t>
      </w:r>
    </w:p>
    <w:p w14:paraId="7F10CF7E" w14:textId="77777777" w:rsidR="00D67D8B" w:rsidRPr="00F96EBF" w:rsidRDefault="00D67D8B" w:rsidP="00F95B9B">
      <w:pPr>
        <w:jc w:val="both"/>
        <w:rPr>
          <w:color w:val="000000" w:themeColor="text1"/>
          <w:lang w:val="en-GB"/>
        </w:rPr>
      </w:pPr>
    </w:p>
    <w:p w14:paraId="2F904C3E" w14:textId="37A75FF0" w:rsidR="00E058B0" w:rsidRDefault="00E058B0" w:rsidP="00F95B9B">
      <w:pPr>
        <w:jc w:val="both"/>
        <w:rPr>
          <w:color w:val="000000" w:themeColor="text1"/>
          <w:lang w:val="en-GB"/>
        </w:rPr>
      </w:pPr>
      <w:r w:rsidRPr="00DA7B66">
        <w:rPr>
          <w:color w:val="000000" w:themeColor="text1"/>
          <w:lang w:val="en-GB"/>
        </w:rPr>
        <w:t xml:space="preserve">Second, </w:t>
      </w:r>
      <w:r w:rsidR="00D67D8B" w:rsidRPr="00DA7B66">
        <w:rPr>
          <w:color w:val="000000" w:themeColor="text1"/>
          <w:lang w:val="en-GB"/>
        </w:rPr>
        <w:t xml:space="preserve">we used as data </w:t>
      </w:r>
      <w:r w:rsidRPr="00DA7B66">
        <w:rPr>
          <w:color w:val="000000" w:themeColor="text1"/>
          <w:lang w:val="en-GB"/>
        </w:rPr>
        <w:t>official aggregate</w:t>
      </w:r>
      <w:r w:rsidR="00881DAC" w:rsidRPr="00DA7B66">
        <w:rPr>
          <w:color w:val="000000" w:themeColor="text1"/>
          <w:lang w:val="en-GB"/>
        </w:rPr>
        <w:t>d</w:t>
      </w:r>
      <w:r w:rsidRPr="00DA7B66">
        <w:rPr>
          <w:color w:val="000000" w:themeColor="text1"/>
          <w:lang w:val="en-GB"/>
        </w:rPr>
        <w:t xml:space="preserve"> statistics from the database of the </w:t>
      </w:r>
      <w:r w:rsidR="00A12339" w:rsidRPr="00DA7B66">
        <w:rPr>
          <w:color w:val="000000" w:themeColor="text1"/>
          <w:lang w:val="en-GB"/>
        </w:rPr>
        <w:t xml:space="preserve">Spanish </w:t>
      </w:r>
      <w:r w:rsidRPr="00DA7B66">
        <w:rPr>
          <w:color w:val="000000" w:themeColor="text1"/>
          <w:lang w:val="en-GB"/>
        </w:rPr>
        <w:t>Ministry of Education</w:t>
      </w:r>
      <w:r w:rsidR="00D67D8B" w:rsidRPr="00DA7B66">
        <w:rPr>
          <w:color w:val="000000" w:themeColor="text1"/>
          <w:lang w:val="en-GB"/>
        </w:rPr>
        <w:t>. T</w:t>
      </w:r>
      <w:r w:rsidRPr="00DA7B66">
        <w:rPr>
          <w:color w:val="000000" w:themeColor="text1"/>
          <w:lang w:val="en-GB"/>
        </w:rPr>
        <w:t xml:space="preserve">he results </w:t>
      </w:r>
      <w:r w:rsidR="00D67D8B" w:rsidRPr="00DA7B66">
        <w:rPr>
          <w:color w:val="000000" w:themeColor="text1"/>
          <w:lang w:val="en-GB"/>
        </w:rPr>
        <w:t>should for this reason</w:t>
      </w:r>
      <w:r w:rsidRPr="00DA7B66">
        <w:rPr>
          <w:color w:val="000000" w:themeColor="text1"/>
          <w:lang w:val="en-GB"/>
        </w:rPr>
        <w:t xml:space="preserve"> be interpreted with caution</w:t>
      </w:r>
      <w:r w:rsidR="00906FE0" w:rsidRPr="00DA7B66">
        <w:rPr>
          <w:color w:val="000000" w:themeColor="text1"/>
          <w:lang w:val="en-GB"/>
        </w:rPr>
        <w:t>,</w:t>
      </w:r>
      <w:r w:rsidRPr="00DA7B66">
        <w:rPr>
          <w:color w:val="000000" w:themeColor="text1"/>
          <w:lang w:val="en-GB"/>
        </w:rPr>
        <w:t xml:space="preserve"> as there </w:t>
      </w:r>
      <w:r w:rsidR="00A12339" w:rsidRPr="00DA7B66">
        <w:rPr>
          <w:color w:val="000000" w:themeColor="text1"/>
          <w:lang w:val="en-GB"/>
        </w:rPr>
        <w:t>was</w:t>
      </w:r>
      <w:r w:rsidRPr="00DA7B66">
        <w:rPr>
          <w:color w:val="000000" w:themeColor="text1"/>
          <w:lang w:val="en-GB"/>
        </w:rPr>
        <w:t xml:space="preserve"> notable heterogeneity </w:t>
      </w:r>
      <w:r w:rsidR="00A12339" w:rsidRPr="00DA7B66">
        <w:rPr>
          <w:color w:val="000000" w:themeColor="text1"/>
          <w:lang w:val="en-GB"/>
        </w:rPr>
        <w:t>within</w:t>
      </w:r>
      <w:r w:rsidRPr="00DA7B66">
        <w:rPr>
          <w:color w:val="000000" w:themeColor="text1"/>
          <w:lang w:val="en-GB"/>
        </w:rPr>
        <w:t xml:space="preserve"> the regions. </w:t>
      </w:r>
      <w:r w:rsidR="00D4334C" w:rsidRPr="00DA7B66">
        <w:rPr>
          <w:color w:val="000000" w:themeColor="text1"/>
          <w:lang w:val="en-GB"/>
        </w:rPr>
        <w:t xml:space="preserve">We </w:t>
      </w:r>
      <w:r w:rsidR="006177CE" w:rsidRPr="00DA7B66">
        <w:rPr>
          <w:color w:val="000000" w:themeColor="text1"/>
          <w:lang w:val="en-GB"/>
        </w:rPr>
        <w:t>r</w:t>
      </w:r>
      <w:r w:rsidR="00906FE0" w:rsidRPr="00DA7B66">
        <w:rPr>
          <w:color w:val="000000" w:themeColor="text1"/>
          <w:lang w:val="en-GB"/>
        </w:rPr>
        <w:t>eco</w:t>
      </w:r>
      <w:r w:rsidR="006177CE" w:rsidRPr="00DA7B66">
        <w:rPr>
          <w:color w:val="000000" w:themeColor="text1"/>
          <w:lang w:val="en-GB"/>
        </w:rPr>
        <w:t>mmend</w:t>
      </w:r>
      <w:r w:rsidR="008B292E" w:rsidRPr="00DA7B66">
        <w:rPr>
          <w:color w:val="000000" w:themeColor="text1"/>
          <w:lang w:val="en-GB"/>
        </w:rPr>
        <w:t xml:space="preserve"> expand</w:t>
      </w:r>
      <w:r w:rsidR="006177CE" w:rsidRPr="00DA7B66">
        <w:rPr>
          <w:color w:val="000000" w:themeColor="text1"/>
          <w:lang w:val="en-GB"/>
        </w:rPr>
        <w:t>ing</w:t>
      </w:r>
      <w:r w:rsidR="008B292E" w:rsidRPr="00DA7B66">
        <w:rPr>
          <w:color w:val="000000" w:themeColor="text1"/>
          <w:lang w:val="en-GB"/>
        </w:rPr>
        <w:t xml:space="preserve"> the analysis of interaction of regional and gender inequalities on </w:t>
      </w:r>
      <w:r w:rsidR="00BE46F9" w:rsidRPr="00DA7B66">
        <w:rPr>
          <w:color w:val="000000" w:themeColor="text1"/>
          <w:lang w:val="en-GB"/>
        </w:rPr>
        <w:t xml:space="preserve">early school leaving </w:t>
      </w:r>
      <w:r w:rsidR="008B292E" w:rsidRPr="00DA7B66">
        <w:rPr>
          <w:color w:val="000000" w:themeColor="text1"/>
          <w:lang w:val="en-GB"/>
        </w:rPr>
        <w:t>using microdata and</w:t>
      </w:r>
      <w:r w:rsidR="00906FE0" w:rsidRPr="00DA7B66">
        <w:rPr>
          <w:color w:val="000000" w:themeColor="text1"/>
          <w:lang w:val="en-GB"/>
        </w:rPr>
        <w:t xml:space="preserve"> </w:t>
      </w:r>
      <w:r w:rsidR="006177CE" w:rsidRPr="00DA7B66">
        <w:rPr>
          <w:color w:val="000000" w:themeColor="text1"/>
          <w:lang w:val="en-GB"/>
        </w:rPr>
        <w:t xml:space="preserve">by developing </w:t>
      </w:r>
      <w:r w:rsidR="00906FE0" w:rsidRPr="00DA7B66">
        <w:rPr>
          <w:color w:val="000000" w:themeColor="text1"/>
          <w:lang w:val="en-GB"/>
        </w:rPr>
        <w:t xml:space="preserve">variables </w:t>
      </w:r>
      <w:r w:rsidR="006177CE" w:rsidRPr="00DA7B66">
        <w:rPr>
          <w:color w:val="000000" w:themeColor="text1"/>
          <w:lang w:val="en-GB"/>
        </w:rPr>
        <w:t>on</w:t>
      </w:r>
      <w:r w:rsidR="00906FE0" w:rsidRPr="00DA7B66">
        <w:rPr>
          <w:color w:val="000000" w:themeColor="text1"/>
          <w:lang w:val="en-GB"/>
        </w:rPr>
        <w:t xml:space="preserve"> policy interventions at </w:t>
      </w:r>
      <w:r w:rsidR="00D4334C" w:rsidRPr="00DA7B66">
        <w:rPr>
          <w:color w:val="000000" w:themeColor="text1"/>
          <w:lang w:val="en-GB"/>
        </w:rPr>
        <w:t xml:space="preserve">the </w:t>
      </w:r>
      <w:r w:rsidR="00906FE0" w:rsidRPr="00DA7B66">
        <w:rPr>
          <w:color w:val="000000" w:themeColor="text1"/>
          <w:lang w:val="en-GB"/>
        </w:rPr>
        <w:t>individual and regional level</w:t>
      </w:r>
      <w:r w:rsidR="006177CE" w:rsidRPr="00DA7B66">
        <w:rPr>
          <w:color w:val="000000" w:themeColor="text1"/>
          <w:lang w:val="en-GB"/>
        </w:rPr>
        <w:t>s</w:t>
      </w:r>
      <w:r w:rsidR="00D4334C" w:rsidRPr="00DA7B66">
        <w:rPr>
          <w:color w:val="000000" w:themeColor="text1"/>
          <w:lang w:val="en-GB"/>
        </w:rPr>
        <w:t xml:space="preserve">; this would make </w:t>
      </w:r>
      <w:r w:rsidR="00C5044C" w:rsidRPr="00DA7B66">
        <w:rPr>
          <w:color w:val="000000" w:themeColor="text1"/>
          <w:lang w:val="en-GB"/>
        </w:rPr>
        <w:t xml:space="preserve">the findings of </w:t>
      </w:r>
      <w:r w:rsidR="00906FE0" w:rsidRPr="00DA7B66">
        <w:rPr>
          <w:color w:val="000000" w:themeColor="text1"/>
          <w:lang w:val="en-GB"/>
        </w:rPr>
        <w:t>further s</w:t>
      </w:r>
      <w:r w:rsidR="00906FE0" w:rsidRPr="00F96EBF">
        <w:rPr>
          <w:color w:val="000000" w:themeColor="text1"/>
          <w:lang w:val="en-GB"/>
        </w:rPr>
        <w:t>tudies</w:t>
      </w:r>
      <w:r w:rsidR="00D4334C" w:rsidRPr="00F96EBF">
        <w:rPr>
          <w:color w:val="000000" w:themeColor="text1"/>
          <w:lang w:val="en-GB"/>
        </w:rPr>
        <w:t xml:space="preserve"> more </w:t>
      </w:r>
      <w:r w:rsidR="00881DAC" w:rsidRPr="00F96EBF">
        <w:rPr>
          <w:color w:val="000000" w:themeColor="text1"/>
          <w:lang w:val="en-GB"/>
        </w:rPr>
        <w:t>robust</w:t>
      </w:r>
      <w:r w:rsidR="00D4334C" w:rsidRPr="00F96EBF">
        <w:rPr>
          <w:color w:val="000000" w:themeColor="text1"/>
          <w:lang w:val="en-GB"/>
        </w:rPr>
        <w:t>.</w:t>
      </w:r>
      <w:r w:rsidR="00116D09" w:rsidRPr="00F96EBF">
        <w:rPr>
          <w:color w:val="000000" w:themeColor="text1"/>
          <w:lang w:val="en-GB"/>
        </w:rPr>
        <w:t xml:space="preserve"> </w:t>
      </w:r>
      <w:r w:rsidR="000C36C3" w:rsidRPr="00F96EBF">
        <w:rPr>
          <w:color w:val="000000" w:themeColor="text1"/>
          <w:lang w:val="en-GB"/>
        </w:rPr>
        <w:t>Additionally, a</w:t>
      </w:r>
      <w:r w:rsidR="00116D09" w:rsidRPr="00F96EBF">
        <w:rPr>
          <w:color w:val="000000" w:themeColor="text1"/>
          <w:lang w:val="en-GB"/>
        </w:rPr>
        <w:t>s Donlevy et al. (2019) point</w:t>
      </w:r>
      <w:r w:rsidR="009E12D5" w:rsidRPr="00F96EBF">
        <w:rPr>
          <w:color w:val="000000" w:themeColor="text1"/>
          <w:lang w:val="en-GB"/>
        </w:rPr>
        <w:t>ed</w:t>
      </w:r>
      <w:r w:rsidR="00116D09" w:rsidRPr="00F96EBF">
        <w:rPr>
          <w:color w:val="000000" w:themeColor="text1"/>
          <w:lang w:val="en-GB"/>
        </w:rPr>
        <w:t xml:space="preserve"> out, there is a need to expand the </w:t>
      </w:r>
      <w:r w:rsidR="00BE46F9" w:rsidRPr="00F96EBF">
        <w:rPr>
          <w:color w:val="000000" w:themeColor="text1"/>
          <w:lang w:val="en-GB"/>
        </w:rPr>
        <w:t xml:space="preserve">early school leaving </w:t>
      </w:r>
      <w:r w:rsidR="00116D09" w:rsidRPr="00F96EBF">
        <w:rPr>
          <w:color w:val="000000" w:themeColor="text1"/>
          <w:lang w:val="en-GB"/>
        </w:rPr>
        <w:t xml:space="preserve">indicator to cover sub-national territories with </w:t>
      </w:r>
      <w:r w:rsidR="00896291" w:rsidRPr="00F96EBF">
        <w:rPr>
          <w:color w:val="000000" w:themeColor="text1"/>
          <w:lang w:val="en-GB"/>
        </w:rPr>
        <w:t xml:space="preserve">different socio-economic characteristics </w:t>
      </w:r>
      <w:proofErr w:type="gramStart"/>
      <w:r w:rsidR="00896291" w:rsidRPr="00F96EBF">
        <w:rPr>
          <w:color w:val="000000" w:themeColor="text1"/>
          <w:lang w:val="en-GB"/>
        </w:rPr>
        <w:t>in order to</w:t>
      </w:r>
      <w:proofErr w:type="gramEnd"/>
      <w:r w:rsidR="00896291" w:rsidRPr="00F96EBF">
        <w:rPr>
          <w:color w:val="000000" w:themeColor="text1"/>
          <w:lang w:val="en-GB"/>
        </w:rPr>
        <w:t xml:space="preserve"> provide</w:t>
      </w:r>
      <w:r w:rsidR="00116D09" w:rsidRPr="00F96EBF">
        <w:rPr>
          <w:color w:val="000000" w:themeColor="text1"/>
          <w:lang w:val="en-GB"/>
        </w:rPr>
        <w:t xml:space="preserve"> evidence to build better tailored responses </w:t>
      </w:r>
      <w:r w:rsidR="009E12D5" w:rsidRPr="00F96EBF">
        <w:rPr>
          <w:color w:val="000000" w:themeColor="text1"/>
          <w:lang w:val="en-GB"/>
        </w:rPr>
        <w:t>to</w:t>
      </w:r>
      <w:r w:rsidR="00116D09" w:rsidRPr="00F96EBF">
        <w:rPr>
          <w:color w:val="000000" w:themeColor="text1"/>
          <w:lang w:val="en-GB"/>
        </w:rPr>
        <w:t xml:space="preserve"> </w:t>
      </w:r>
      <w:r w:rsidR="00BE46F9" w:rsidRPr="00F96EBF">
        <w:rPr>
          <w:color w:val="000000" w:themeColor="text1"/>
          <w:lang w:val="en-GB"/>
        </w:rPr>
        <w:t xml:space="preserve">early school </w:t>
      </w:r>
      <w:r w:rsidR="0056339F" w:rsidRPr="00F96EBF">
        <w:rPr>
          <w:color w:val="000000" w:themeColor="text1"/>
          <w:lang w:val="en-GB"/>
        </w:rPr>
        <w:t xml:space="preserve">leaving. </w:t>
      </w:r>
    </w:p>
    <w:p w14:paraId="50047A21" w14:textId="77777777" w:rsidR="00D67D8B" w:rsidRPr="00F96EBF" w:rsidRDefault="00D67D8B" w:rsidP="00F95B9B">
      <w:pPr>
        <w:jc w:val="both"/>
        <w:rPr>
          <w:color w:val="000000" w:themeColor="text1"/>
          <w:lang w:val="en-GB"/>
        </w:rPr>
      </w:pPr>
    </w:p>
    <w:p w14:paraId="1CB85939" w14:textId="36BA0026" w:rsidR="00B8507B" w:rsidRPr="00F96EBF" w:rsidRDefault="001C58AC" w:rsidP="00F95B9B">
      <w:pPr>
        <w:jc w:val="both"/>
        <w:rPr>
          <w:color w:val="000000" w:themeColor="text1"/>
          <w:lang w:val="en-GB"/>
        </w:rPr>
      </w:pPr>
      <w:r w:rsidRPr="00F96EBF">
        <w:rPr>
          <w:color w:val="000000" w:themeColor="text1"/>
          <w:lang w:val="en-GB"/>
        </w:rPr>
        <w:t>Thirdly</w:t>
      </w:r>
      <w:r w:rsidR="00B8507B" w:rsidRPr="00F96EBF">
        <w:rPr>
          <w:color w:val="000000" w:themeColor="text1"/>
          <w:lang w:val="en-GB"/>
        </w:rPr>
        <w:t xml:space="preserve">, </w:t>
      </w:r>
      <w:r w:rsidR="009E12D5" w:rsidRPr="00F96EBF">
        <w:rPr>
          <w:color w:val="000000" w:themeColor="text1"/>
          <w:lang w:val="en-GB"/>
        </w:rPr>
        <w:t>following</w:t>
      </w:r>
      <w:r w:rsidR="00AF137E" w:rsidRPr="00F96EBF">
        <w:rPr>
          <w:color w:val="000000" w:themeColor="text1"/>
          <w:lang w:val="en-GB"/>
        </w:rPr>
        <w:t xml:space="preserve"> </w:t>
      </w:r>
      <w:r w:rsidR="00AF137E" w:rsidRPr="00DA7B66">
        <w:rPr>
          <w:color w:val="000000" w:themeColor="text1"/>
          <w:lang w:val="en-GB"/>
        </w:rPr>
        <w:t>Downes (2013), there is a need to incorporate the voices of the agents involved in this social problem, such as students, into structural indicators</w:t>
      </w:r>
      <w:r w:rsidR="009E12D5" w:rsidRPr="00DA7B66">
        <w:rPr>
          <w:color w:val="000000" w:themeColor="text1"/>
          <w:lang w:val="en-GB"/>
        </w:rPr>
        <w:t>, which will help</w:t>
      </w:r>
      <w:r w:rsidR="005D263E" w:rsidRPr="00DA7B66">
        <w:rPr>
          <w:color w:val="000000" w:themeColor="text1"/>
          <w:lang w:val="en-GB"/>
        </w:rPr>
        <w:t xml:space="preserve"> to improve accountability regarding </w:t>
      </w:r>
      <w:r w:rsidR="009E12D5" w:rsidRPr="00DA7B66">
        <w:rPr>
          <w:color w:val="000000" w:themeColor="text1"/>
          <w:lang w:val="en-GB"/>
        </w:rPr>
        <w:t xml:space="preserve">the monitoring of </w:t>
      </w:r>
      <w:r w:rsidR="00BE46F9" w:rsidRPr="00DA7B66">
        <w:rPr>
          <w:color w:val="000000" w:themeColor="text1"/>
          <w:lang w:val="en-GB"/>
        </w:rPr>
        <w:t xml:space="preserve">early school leaving </w:t>
      </w:r>
      <w:r w:rsidR="00C9096B" w:rsidRPr="00DA7B66">
        <w:rPr>
          <w:color w:val="000000" w:themeColor="text1"/>
          <w:lang w:val="en-GB"/>
        </w:rPr>
        <w:t>(Downes et al., 2017)</w:t>
      </w:r>
      <w:r w:rsidR="00AF137E" w:rsidRPr="00DA7B66">
        <w:rPr>
          <w:color w:val="000000" w:themeColor="text1"/>
          <w:lang w:val="en-GB"/>
        </w:rPr>
        <w:t xml:space="preserve">. </w:t>
      </w:r>
      <w:r w:rsidRPr="00DA7B66">
        <w:rPr>
          <w:color w:val="000000" w:themeColor="text1"/>
          <w:lang w:val="en-GB"/>
        </w:rPr>
        <w:t xml:space="preserve">Lastly, we encourage monitoring and assessing the effects of </w:t>
      </w:r>
      <w:r w:rsidR="00DD6B25" w:rsidRPr="00DA7B66">
        <w:rPr>
          <w:color w:val="000000" w:themeColor="text1"/>
          <w:lang w:val="en-GB"/>
        </w:rPr>
        <w:t xml:space="preserve">the </w:t>
      </w:r>
      <w:r w:rsidRPr="00DA7B66">
        <w:rPr>
          <w:color w:val="000000" w:themeColor="text1"/>
          <w:lang w:val="en-GB"/>
        </w:rPr>
        <w:t>COVID</w:t>
      </w:r>
      <w:r w:rsidR="00DD6B25" w:rsidRPr="00DA7B66">
        <w:rPr>
          <w:color w:val="000000" w:themeColor="text1"/>
          <w:lang w:val="en-GB"/>
        </w:rPr>
        <w:t>-</w:t>
      </w:r>
      <w:r w:rsidRPr="00DA7B66">
        <w:rPr>
          <w:color w:val="000000" w:themeColor="text1"/>
          <w:lang w:val="en-GB"/>
        </w:rPr>
        <w:t xml:space="preserve">19 pandemic on </w:t>
      </w:r>
      <w:r w:rsidR="00830693" w:rsidRPr="00DA7B66">
        <w:rPr>
          <w:color w:val="000000" w:themeColor="text1"/>
          <w:lang w:val="en-GB"/>
        </w:rPr>
        <w:t xml:space="preserve">regional and gender imbalances </w:t>
      </w:r>
      <w:r w:rsidR="00830693" w:rsidRPr="00F96EBF">
        <w:rPr>
          <w:color w:val="000000" w:themeColor="text1"/>
          <w:lang w:val="en-GB"/>
        </w:rPr>
        <w:t xml:space="preserve">in </w:t>
      </w:r>
      <w:r w:rsidR="00BE46F9" w:rsidRPr="00F96EBF">
        <w:rPr>
          <w:color w:val="000000" w:themeColor="text1"/>
          <w:lang w:val="en-GB"/>
        </w:rPr>
        <w:t xml:space="preserve">early school </w:t>
      </w:r>
      <w:r w:rsidR="0056339F" w:rsidRPr="00F96EBF">
        <w:rPr>
          <w:color w:val="000000" w:themeColor="text1"/>
          <w:lang w:val="en-GB"/>
        </w:rPr>
        <w:t xml:space="preserve">leaving. </w:t>
      </w:r>
    </w:p>
    <w:p w14:paraId="49535BBC" w14:textId="49B62ED3" w:rsidR="00F037B4" w:rsidRDefault="00F037B4" w:rsidP="006D08A5">
      <w:pPr>
        <w:rPr>
          <w:color w:val="000000" w:themeColor="text1"/>
          <w:lang w:val="en-GB"/>
        </w:rPr>
      </w:pPr>
    </w:p>
    <w:p w14:paraId="6D2F2E7D" w14:textId="4C0AC3A3" w:rsidR="001E6E6E" w:rsidRDefault="001E6E6E" w:rsidP="006D08A5">
      <w:pPr>
        <w:rPr>
          <w:b/>
          <w:bCs/>
          <w:color w:val="000000" w:themeColor="text1"/>
          <w:lang w:val="en-GB"/>
        </w:rPr>
      </w:pPr>
      <w:r w:rsidRPr="001E6E6E">
        <w:rPr>
          <w:b/>
          <w:bCs/>
          <w:color w:val="000000" w:themeColor="text1"/>
          <w:lang w:val="en-GB"/>
        </w:rPr>
        <w:t>Data availability statement</w:t>
      </w:r>
    </w:p>
    <w:p w14:paraId="7ADB78F8" w14:textId="77777777" w:rsidR="00EA17FE" w:rsidRPr="00052826" w:rsidRDefault="00EA17FE" w:rsidP="00EA17FE">
      <w:pPr>
        <w:rPr>
          <w:rFonts w:ascii="Trebuchet MS" w:hAnsi="Trebuchet MS"/>
          <w:color w:val="1C1D1E"/>
          <w:sz w:val="21"/>
          <w:szCs w:val="21"/>
          <w:shd w:val="clear" w:color="auto" w:fill="FFFFFF"/>
          <w:lang w:eastAsia="es-ES_tradnl"/>
        </w:rPr>
      </w:pPr>
    </w:p>
    <w:p w14:paraId="36872D23" w14:textId="77777777" w:rsidR="00EA17FE" w:rsidRPr="00052826" w:rsidRDefault="00EA17FE" w:rsidP="00EA17FE">
      <w:pPr>
        <w:rPr>
          <w:lang w:eastAsia="es-ES_tradnl"/>
        </w:rPr>
      </w:pPr>
      <w:r w:rsidRPr="00052826">
        <w:rPr>
          <w:rFonts w:ascii="Trebuchet MS" w:hAnsi="Trebuchet MS"/>
          <w:color w:val="1C1D1E"/>
          <w:sz w:val="21"/>
          <w:szCs w:val="21"/>
          <w:shd w:val="clear" w:color="auto" w:fill="FFFFFF"/>
          <w:lang w:eastAsia="es-ES_tradnl"/>
        </w:rPr>
        <w:t>The data that support the findings of this study are available from the corresponding author upon reasonable request.</w:t>
      </w:r>
    </w:p>
    <w:p w14:paraId="7B8B8106" w14:textId="77777777" w:rsidR="00EA17FE" w:rsidRPr="001E6E6E" w:rsidRDefault="00EA17FE" w:rsidP="006D08A5">
      <w:pPr>
        <w:rPr>
          <w:b/>
          <w:bCs/>
          <w:color w:val="000000" w:themeColor="text1"/>
          <w:lang w:val="en-GB"/>
        </w:rPr>
      </w:pPr>
    </w:p>
    <w:p w14:paraId="0B3513F5" w14:textId="77777777" w:rsidR="001E6E6E" w:rsidRPr="00F96EBF" w:rsidRDefault="001E6E6E" w:rsidP="006D08A5">
      <w:pPr>
        <w:rPr>
          <w:color w:val="000000" w:themeColor="text1"/>
          <w:lang w:val="en-GB"/>
        </w:rPr>
      </w:pPr>
    </w:p>
    <w:p w14:paraId="6650FC76" w14:textId="1FFAC1B3" w:rsidR="00310E38" w:rsidRPr="00052826" w:rsidRDefault="00515119" w:rsidP="006D08A5">
      <w:pPr>
        <w:pStyle w:val="Ttulo2"/>
        <w:spacing w:before="0" w:after="0"/>
        <w:jc w:val="left"/>
        <w:rPr>
          <w:rFonts w:cs="Times New Roman"/>
          <w:caps w:val="0"/>
          <w:sz w:val="24"/>
          <w:szCs w:val="24"/>
          <w:lang w:val="es-ES"/>
        </w:rPr>
      </w:pPr>
      <w:r w:rsidRPr="00052826">
        <w:rPr>
          <w:rFonts w:cs="Times New Roman"/>
          <w:caps w:val="0"/>
          <w:sz w:val="24"/>
          <w:szCs w:val="24"/>
          <w:lang w:val="es-ES"/>
        </w:rPr>
        <w:t>REFERENCES</w:t>
      </w:r>
    </w:p>
    <w:p w14:paraId="4BF226EA" w14:textId="099AE013"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Alegre, M. A., &amp; Benito, R. (2014). </w:t>
      </w:r>
      <w:r w:rsidRPr="00F25A2E">
        <w:rPr>
          <w:color w:val="000000" w:themeColor="text1"/>
          <w:lang w:val="en-GB"/>
        </w:rPr>
        <w:t xml:space="preserve">Youth education attainment and participation in Europe: The role of contextual factors and the scope of education policy. </w:t>
      </w:r>
      <w:r w:rsidRPr="00F25A2E">
        <w:rPr>
          <w:i/>
          <w:iCs/>
          <w:color w:val="000000" w:themeColor="text1"/>
          <w:lang w:val="en-GB"/>
        </w:rPr>
        <w:t>European Journal of Education</w:t>
      </w:r>
      <w:r w:rsidRPr="00F25A2E">
        <w:rPr>
          <w:color w:val="000000" w:themeColor="text1"/>
          <w:lang w:val="en-GB"/>
        </w:rPr>
        <w:t xml:space="preserve">, </w:t>
      </w:r>
      <w:r w:rsidRPr="00F25A2E">
        <w:rPr>
          <w:i/>
          <w:iCs/>
          <w:color w:val="000000" w:themeColor="text1"/>
          <w:lang w:val="en-GB"/>
        </w:rPr>
        <w:t>49</w:t>
      </w:r>
      <w:r w:rsidR="0005639A" w:rsidRPr="00F25A2E">
        <w:rPr>
          <w:iCs/>
          <w:color w:val="000000" w:themeColor="text1"/>
          <w:lang w:val="en-GB"/>
        </w:rPr>
        <w:t>(1)</w:t>
      </w:r>
      <w:r w:rsidRPr="00F25A2E">
        <w:rPr>
          <w:color w:val="000000" w:themeColor="text1"/>
          <w:lang w:val="en-GB"/>
        </w:rPr>
        <w:t xml:space="preserve">, 127–143. </w:t>
      </w:r>
      <w:r w:rsidR="00F43849" w:rsidRPr="00F25A2E">
        <w:rPr>
          <w:color w:val="000000" w:themeColor="text1"/>
          <w:lang w:val="en-GB"/>
        </w:rPr>
        <w:t>https://doi.org/</w:t>
      </w:r>
      <w:r w:rsidRPr="00F25A2E">
        <w:rPr>
          <w:color w:val="000000" w:themeColor="text1"/>
          <w:lang w:val="en-GB"/>
        </w:rPr>
        <w:t>10.1111/ejed.12045</w:t>
      </w:r>
    </w:p>
    <w:p w14:paraId="23CBB600" w14:textId="10DD7F54"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Alexander, K. L., Entwisle, D. R., &amp; Horsey, C. S. (1997). From first grade forward: Early foundations of high school dropout. </w:t>
      </w:r>
      <w:r w:rsidRPr="00F25A2E">
        <w:rPr>
          <w:i/>
          <w:iCs/>
          <w:color w:val="000000" w:themeColor="text1"/>
          <w:lang w:val="en-GB"/>
        </w:rPr>
        <w:t>Sociology of Education</w:t>
      </w:r>
      <w:r w:rsidRPr="00F25A2E">
        <w:rPr>
          <w:color w:val="000000" w:themeColor="text1"/>
          <w:lang w:val="en-GB"/>
        </w:rPr>
        <w:t xml:space="preserve">, </w:t>
      </w:r>
      <w:r w:rsidRPr="00F25A2E">
        <w:rPr>
          <w:i/>
          <w:iCs/>
          <w:color w:val="000000" w:themeColor="text1"/>
          <w:lang w:val="en-GB"/>
        </w:rPr>
        <w:t>70</w:t>
      </w:r>
      <w:r w:rsidR="0005639A" w:rsidRPr="00F25A2E">
        <w:rPr>
          <w:iCs/>
          <w:color w:val="000000" w:themeColor="text1"/>
          <w:lang w:val="en-GB"/>
        </w:rPr>
        <w:t>(2)</w:t>
      </w:r>
      <w:r w:rsidRPr="00F25A2E">
        <w:rPr>
          <w:color w:val="000000" w:themeColor="text1"/>
          <w:lang w:val="en-GB"/>
        </w:rPr>
        <w:t xml:space="preserve">, 87–107. </w:t>
      </w:r>
      <w:r w:rsidR="00F43849" w:rsidRPr="00F25A2E">
        <w:rPr>
          <w:color w:val="000000" w:themeColor="text1"/>
          <w:lang w:val="en-GB"/>
        </w:rPr>
        <w:t>https://doi.org/</w:t>
      </w:r>
      <w:r w:rsidRPr="00F25A2E">
        <w:rPr>
          <w:color w:val="000000" w:themeColor="text1"/>
          <w:lang w:val="en-GB"/>
        </w:rPr>
        <w:t>10.2307/2673158</w:t>
      </w:r>
    </w:p>
    <w:p w14:paraId="20B42C69" w14:textId="184CE16B"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lastRenderedPageBreak/>
        <w:t>Bayón-Calvo, S. (2019). An analysis of early school leaving in Spain: Some keys for the educational policy at the dawn of the 21</w:t>
      </w:r>
      <w:r w:rsidRPr="00F25A2E">
        <w:rPr>
          <w:color w:val="000000" w:themeColor="text1"/>
          <w:vertAlign w:val="superscript"/>
          <w:lang w:val="en-GB"/>
        </w:rPr>
        <w:t>st</w:t>
      </w:r>
      <w:r w:rsidRPr="00F25A2E">
        <w:rPr>
          <w:color w:val="000000" w:themeColor="text1"/>
          <w:lang w:val="en-GB"/>
        </w:rPr>
        <w:t xml:space="preserve"> century. </w:t>
      </w:r>
      <w:r w:rsidRPr="00052826">
        <w:rPr>
          <w:i/>
          <w:color w:val="000000" w:themeColor="text1"/>
          <w:lang w:val="es-ES"/>
        </w:rPr>
        <w:t>Revista Complutense de Educación, 30</w:t>
      </w:r>
      <w:r w:rsidR="0005639A" w:rsidRPr="00052826">
        <w:rPr>
          <w:color w:val="000000" w:themeColor="text1"/>
          <w:lang w:val="es-ES"/>
        </w:rPr>
        <w:t>(1)</w:t>
      </w:r>
      <w:r w:rsidRPr="00052826">
        <w:rPr>
          <w:i/>
          <w:color w:val="000000" w:themeColor="text1"/>
          <w:lang w:val="es-ES"/>
        </w:rPr>
        <w:t>,</w:t>
      </w:r>
      <w:r w:rsidRPr="00052826">
        <w:rPr>
          <w:color w:val="000000" w:themeColor="text1"/>
          <w:lang w:val="es-ES"/>
        </w:rPr>
        <w:t xml:space="preserve"> 35−53. </w:t>
      </w:r>
      <w:r w:rsidR="00F43849" w:rsidRPr="00052826">
        <w:rPr>
          <w:color w:val="000000" w:themeColor="text1"/>
          <w:lang w:val="es-ES"/>
        </w:rPr>
        <w:t>https://doi.org/</w:t>
      </w:r>
      <w:r w:rsidRPr="00052826">
        <w:rPr>
          <w:color w:val="000000" w:themeColor="text1"/>
          <w:lang w:val="es-ES"/>
        </w:rPr>
        <w:t>10.5209/RCED.55465</w:t>
      </w:r>
    </w:p>
    <w:p w14:paraId="3B187822" w14:textId="2BBE9DE3"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Bayón-Calvo, S., Corrales-Herrero, H., &amp; De </w:t>
      </w:r>
      <w:proofErr w:type="spellStart"/>
      <w:r w:rsidRPr="00052826">
        <w:rPr>
          <w:color w:val="000000" w:themeColor="text1"/>
          <w:lang w:val="es-ES"/>
        </w:rPr>
        <w:t>Witte</w:t>
      </w:r>
      <w:proofErr w:type="spellEnd"/>
      <w:r w:rsidRPr="00052826">
        <w:rPr>
          <w:color w:val="000000" w:themeColor="text1"/>
          <w:lang w:val="es-ES"/>
        </w:rPr>
        <w:t xml:space="preserve">, K. (2020). </w:t>
      </w:r>
      <w:r w:rsidRPr="00F25A2E">
        <w:rPr>
          <w:color w:val="000000" w:themeColor="text1"/>
          <w:lang w:val="en-GB"/>
        </w:rPr>
        <w:t xml:space="preserve">Assessing regional performance against early school leaving in Spain. </w:t>
      </w:r>
      <w:r w:rsidRPr="00F25A2E">
        <w:rPr>
          <w:i/>
          <w:color w:val="000000" w:themeColor="text1"/>
          <w:lang w:val="en-GB"/>
        </w:rPr>
        <w:t>International Journal of Educational Research, 99</w:t>
      </w:r>
      <w:r w:rsidR="0005639A" w:rsidRPr="00F25A2E">
        <w:rPr>
          <w:color w:val="000000" w:themeColor="text1"/>
          <w:lang w:val="en-GB"/>
        </w:rPr>
        <w:t>, 101515</w:t>
      </w:r>
      <w:r w:rsidRPr="00F25A2E">
        <w:rPr>
          <w:i/>
          <w:color w:val="000000" w:themeColor="text1"/>
          <w:lang w:val="en-GB"/>
        </w:rPr>
        <w:t>.</w:t>
      </w:r>
      <w:r w:rsidRPr="00F25A2E">
        <w:rPr>
          <w:color w:val="000000" w:themeColor="text1"/>
          <w:lang w:val="en-GB"/>
        </w:rPr>
        <w:t xml:space="preserve"> </w:t>
      </w:r>
      <w:r w:rsidR="00F43849" w:rsidRPr="00F25A2E">
        <w:rPr>
          <w:color w:val="000000" w:themeColor="text1"/>
          <w:lang w:val="en-GB"/>
        </w:rPr>
        <w:t>https://doi.org/</w:t>
      </w:r>
      <w:r w:rsidRPr="00F25A2E">
        <w:rPr>
          <w:color w:val="000000" w:themeColor="text1"/>
          <w:lang w:val="en-GB"/>
        </w:rPr>
        <w:t xml:space="preserve"> </w:t>
      </w:r>
      <w:r w:rsidRPr="00F25A2E">
        <w:rPr>
          <w:lang w:val="en-GB"/>
        </w:rPr>
        <w:t>10.1016/j.ijer.2019.101515</w:t>
      </w:r>
    </w:p>
    <w:p w14:paraId="34C58ED6" w14:textId="77777777"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Bayón-Calvo, S., Corrales-Herrero, H., &amp; Ogando Canabal, O. (2017). </w:t>
      </w:r>
      <w:r w:rsidRPr="00F25A2E">
        <w:rPr>
          <w:color w:val="000000" w:themeColor="text1"/>
          <w:lang w:val="en-GB"/>
        </w:rPr>
        <w:t xml:space="preserve">The determining factors of early leaving from education and training. The case of Spanish regions. </w:t>
      </w:r>
      <w:proofErr w:type="spellStart"/>
      <w:r w:rsidRPr="00F25A2E">
        <w:rPr>
          <w:i/>
          <w:iCs/>
          <w:color w:val="000000" w:themeColor="text1"/>
          <w:lang w:val="en-GB"/>
        </w:rPr>
        <w:t>Investigaciones</w:t>
      </w:r>
      <w:proofErr w:type="spellEnd"/>
      <w:r w:rsidRPr="00F25A2E">
        <w:rPr>
          <w:i/>
          <w:iCs/>
          <w:color w:val="000000" w:themeColor="text1"/>
          <w:lang w:val="en-GB"/>
        </w:rPr>
        <w:t xml:space="preserve"> </w:t>
      </w:r>
      <w:proofErr w:type="spellStart"/>
      <w:r w:rsidRPr="00F25A2E">
        <w:rPr>
          <w:i/>
          <w:iCs/>
          <w:color w:val="000000" w:themeColor="text1"/>
          <w:lang w:val="en-GB"/>
        </w:rPr>
        <w:t>Regionales</w:t>
      </w:r>
      <w:proofErr w:type="spellEnd"/>
      <w:r w:rsidRPr="00F25A2E">
        <w:rPr>
          <w:color w:val="000000" w:themeColor="text1"/>
          <w:lang w:val="en-GB"/>
        </w:rPr>
        <w:t xml:space="preserve">, </w:t>
      </w:r>
      <w:r w:rsidRPr="00F25A2E">
        <w:rPr>
          <w:i/>
          <w:iCs/>
          <w:color w:val="000000" w:themeColor="text1"/>
          <w:lang w:val="en-GB"/>
        </w:rPr>
        <w:t>37</w:t>
      </w:r>
      <w:r w:rsidRPr="00F25A2E">
        <w:rPr>
          <w:color w:val="000000" w:themeColor="text1"/>
          <w:lang w:val="en-GB"/>
        </w:rPr>
        <w:t>, 99–117.</w:t>
      </w:r>
    </w:p>
    <w:p w14:paraId="1A058375" w14:textId="2C7C557E"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t xml:space="preserve">Bernardi, F., &amp; Cebolla, H. (2014a). Social class and school performance as predictors of educational paths in Spain. </w:t>
      </w:r>
      <w:r w:rsidRPr="00052826">
        <w:rPr>
          <w:i/>
          <w:iCs/>
          <w:color w:val="000000" w:themeColor="text1"/>
          <w:lang w:val="es-ES"/>
        </w:rPr>
        <w:t>Revista Española de Investigaciones Sociológicas</w:t>
      </w:r>
      <w:r w:rsidRPr="00052826">
        <w:rPr>
          <w:color w:val="000000" w:themeColor="text1"/>
          <w:lang w:val="es-ES"/>
        </w:rPr>
        <w:t xml:space="preserve">, </w:t>
      </w:r>
      <w:r w:rsidRPr="00052826">
        <w:rPr>
          <w:i/>
          <w:iCs/>
          <w:color w:val="000000" w:themeColor="text1"/>
          <w:lang w:val="es-ES"/>
        </w:rPr>
        <w:t>146</w:t>
      </w:r>
      <w:r w:rsidRPr="00052826">
        <w:rPr>
          <w:color w:val="000000" w:themeColor="text1"/>
          <w:lang w:val="es-ES"/>
        </w:rPr>
        <w:t xml:space="preserve">, 3–22. </w:t>
      </w:r>
      <w:r w:rsidR="00F43849" w:rsidRPr="00052826">
        <w:rPr>
          <w:color w:val="000000" w:themeColor="text1"/>
          <w:lang w:val="es-ES"/>
        </w:rPr>
        <w:t>https://doi.org/</w:t>
      </w:r>
      <w:r w:rsidRPr="00052826">
        <w:rPr>
          <w:color w:val="000000" w:themeColor="text1"/>
          <w:lang w:val="es-ES"/>
        </w:rPr>
        <w:t>10.5477/cis/reis.146.3</w:t>
      </w:r>
    </w:p>
    <w:p w14:paraId="6090DF91" w14:textId="563E391B" w:rsidR="00310E38" w:rsidRPr="00F25A2E" w:rsidRDefault="00310E38" w:rsidP="006D08A5">
      <w:pPr>
        <w:shd w:val="clear" w:color="auto" w:fill="FFFFFF" w:themeFill="background1"/>
        <w:ind w:left="480" w:hanging="480"/>
        <w:rPr>
          <w:color w:val="000000" w:themeColor="text1"/>
          <w:lang w:val="en-GB"/>
        </w:rPr>
      </w:pPr>
      <w:proofErr w:type="spellStart"/>
      <w:r w:rsidRPr="00052826">
        <w:rPr>
          <w:color w:val="000000" w:themeColor="text1"/>
          <w:lang w:val="es-ES"/>
        </w:rPr>
        <w:t>Bernardi</w:t>
      </w:r>
      <w:proofErr w:type="spellEnd"/>
      <w:r w:rsidRPr="00052826">
        <w:rPr>
          <w:color w:val="000000" w:themeColor="text1"/>
          <w:lang w:val="es-ES"/>
        </w:rPr>
        <w:t xml:space="preserve">, F., &amp; Cebolla, H. (2014b). </w:t>
      </w:r>
      <w:r w:rsidRPr="00F25A2E">
        <w:rPr>
          <w:color w:val="000000" w:themeColor="text1"/>
          <w:lang w:val="en-GB"/>
        </w:rPr>
        <w:t xml:space="preserve">Previous school results and social background: Compensation and imperfect information in educational transitions. </w:t>
      </w:r>
      <w:r w:rsidRPr="00F25A2E">
        <w:rPr>
          <w:i/>
          <w:iCs/>
          <w:color w:val="000000" w:themeColor="text1"/>
          <w:lang w:val="en-GB"/>
        </w:rPr>
        <w:t>European Sociological Review</w:t>
      </w:r>
      <w:r w:rsidRPr="00F25A2E">
        <w:rPr>
          <w:color w:val="000000" w:themeColor="text1"/>
          <w:lang w:val="en-GB"/>
        </w:rPr>
        <w:t xml:space="preserve">, </w:t>
      </w:r>
      <w:r w:rsidRPr="00F25A2E">
        <w:rPr>
          <w:i/>
          <w:iCs/>
          <w:color w:val="000000" w:themeColor="text1"/>
          <w:lang w:val="en-GB"/>
        </w:rPr>
        <w:t>30</w:t>
      </w:r>
      <w:r w:rsidR="0005639A" w:rsidRPr="00F25A2E">
        <w:rPr>
          <w:iCs/>
          <w:color w:val="000000" w:themeColor="text1"/>
          <w:lang w:val="en-GB"/>
        </w:rPr>
        <w:t>(2)</w:t>
      </w:r>
      <w:r w:rsidRPr="00F25A2E">
        <w:rPr>
          <w:color w:val="000000" w:themeColor="text1"/>
          <w:lang w:val="en-GB"/>
        </w:rPr>
        <w:t xml:space="preserve">, 207–217. </w:t>
      </w:r>
      <w:r w:rsidR="00F43849" w:rsidRPr="00F25A2E">
        <w:rPr>
          <w:color w:val="000000" w:themeColor="text1"/>
          <w:lang w:val="en-GB"/>
        </w:rPr>
        <w:t>https://doi.org/</w:t>
      </w:r>
      <w:r w:rsidRPr="00F25A2E">
        <w:rPr>
          <w:color w:val="000000" w:themeColor="text1"/>
          <w:lang w:val="en-GB"/>
        </w:rPr>
        <w:t>10.1093/esr/jct029</w:t>
      </w:r>
    </w:p>
    <w:p w14:paraId="30DDA321" w14:textId="45B9FEFF" w:rsidR="00310E38" w:rsidRPr="00F25A2E" w:rsidRDefault="00310E38" w:rsidP="006D08A5">
      <w:pPr>
        <w:shd w:val="clear" w:color="auto" w:fill="FFFFFF" w:themeFill="background1"/>
        <w:ind w:left="480" w:hanging="480"/>
        <w:rPr>
          <w:color w:val="000000" w:themeColor="text1"/>
          <w:lang w:val="en-GB"/>
        </w:rPr>
      </w:pPr>
      <w:proofErr w:type="spellStart"/>
      <w:r w:rsidRPr="00F25A2E">
        <w:rPr>
          <w:color w:val="000000" w:themeColor="text1"/>
          <w:lang w:val="en-GB"/>
        </w:rPr>
        <w:t>Blossfeld</w:t>
      </w:r>
      <w:proofErr w:type="spellEnd"/>
      <w:r w:rsidRPr="00F25A2E">
        <w:rPr>
          <w:color w:val="000000" w:themeColor="text1"/>
          <w:lang w:val="en-GB"/>
        </w:rPr>
        <w:t>, H. P., &amp; Shavit, Y. (201</w:t>
      </w:r>
      <w:r w:rsidR="00705A83" w:rsidRPr="00F25A2E">
        <w:rPr>
          <w:color w:val="000000" w:themeColor="text1"/>
          <w:lang w:val="en-GB"/>
        </w:rPr>
        <w:t>5</w:t>
      </w:r>
      <w:r w:rsidRPr="00F25A2E">
        <w:rPr>
          <w:color w:val="000000" w:themeColor="text1"/>
          <w:lang w:val="en-GB"/>
        </w:rPr>
        <w:t xml:space="preserve">). Persisting barriers: Changes in educational opportunities in thirteen countries. In R. Arum, I.R. Beattie, &amp; K. Ford (Eds.), </w:t>
      </w:r>
      <w:r w:rsidRPr="00F25A2E">
        <w:rPr>
          <w:i/>
          <w:color w:val="000000" w:themeColor="text1"/>
          <w:lang w:val="en-GB"/>
        </w:rPr>
        <w:t xml:space="preserve">The structure of schooling. Readings in Sociology of Education </w:t>
      </w:r>
      <w:r w:rsidRPr="00F25A2E">
        <w:rPr>
          <w:color w:val="000000" w:themeColor="text1"/>
          <w:lang w:val="en-GB"/>
        </w:rPr>
        <w:t>(pp. 214</w:t>
      </w:r>
      <w:r w:rsidRPr="00F25A2E">
        <w:rPr>
          <w:iCs/>
          <w:color w:val="000000" w:themeColor="text1"/>
          <w:lang w:val="en-GB"/>
        </w:rPr>
        <w:t>−</w:t>
      </w:r>
      <w:r w:rsidRPr="00F25A2E">
        <w:rPr>
          <w:color w:val="000000" w:themeColor="text1"/>
          <w:lang w:val="en-GB"/>
        </w:rPr>
        <w:t>227). London: Sage.</w:t>
      </w:r>
    </w:p>
    <w:p w14:paraId="41C80094" w14:textId="77777777"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Bourdieu, P., &amp; </w:t>
      </w:r>
      <w:proofErr w:type="spellStart"/>
      <w:r w:rsidRPr="00F25A2E">
        <w:rPr>
          <w:color w:val="000000" w:themeColor="text1"/>
          <w:lang w:val="en-GB"/>
        </w:rPr>
        <w:t>Passeron</w:t>
      </w:r>
      <w:proofErr w:type="spellEnd"/>
      <w:r w:rsidRPr="00F25A2E">
        <w:rPr>
          <w:color w:val="000000" w:themeColor="text1"/>
          <w:lang w:val="en-GB"/>
        </w:rPr>
        <w:t xml:space="preserve">, J. C. (1977). </w:t>
      </w:r>
      <w:r w:rsidRPr="00F25A2E">
        <w:rPr>
          <w:i/>
          <w:color w:val="000000" w:themeColor="text1"/>
          <w:lang w:val="en-GB"/>
        </w:rPr>
        <w:t>Reproduction in education, society and culture.</w:t>
      </w:r>
      <w:r w:rsidRPr="00F25A2E">
        <w:rPr>
          <w:color w:val="000000" w:themeColor="text1"/>
          <w:lang w:val="en-GB"/>
        </w:rPr>
        <w:t xml:space="preserve"> Beverly Hills: Sage.</w:t>
      </w:r>
    </w:p>
    <w:p w14:paraId="30CB1492" w14:textId="442D0D60"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Borgna, C., &amp; </w:t>
      </w:r>
      <w:proofErr w:type="spellStart"/>
      <w:r w:rsidRPr="00F25A2E">
        <w:rPr>
          <w:color w:val="000000" w:themeColor="text1"/>
          <w:lang w:val="en-GB"/>
        </w:rPr>
        <w:t>Struffolino</w:t>
      </w:r>
      <w:proofErr w:type="spellEnd"/>
      <w:r w:rsidRPr="00F25A2E">
        <w:rPr>
          <w:color w:val="000000" w:themeColor="text1"/>
          <w:lang w:val="en-GB"/>
        </w:rPr>
        <w:t xml:space="preserve">, E. (2017). Pushed or pulled? Girls and boys facing early school leaving risk in Italy. </w:t>
      </w:r>
      <w:r w:rsidRPr="00F25A2E">
        <w:rPr>
          <w:i/>
          <w:color w:val="000000" w:themeColor="text1"/>
          <w:lang w:val="en-GB"/>
        </w:rPr>
        <w:t xml:space="preserve">Social Science Research, 61, </w:t>
      </w:r>
      <w:r w:rsidRPr="00F25A2E">
        <w:rPr>
          <w:color w:val="000000" w:themeColor="text1"/>
          <w:lang w:val="en-GB"/>
        </w:rPr>
        <w:t xml:space="preserve">298-313. </w:t>
      </w:r>
      <w:r w:rsidR="00F43849" w:rsidRPr="00F25A2E">
        <w:rPr>
          <w:color w:val="000000" w:themeColor="text1"/>
          <w:lang w:val="en-GB"/>
        </w:rPr>
        <w:t>https://doi.org/</w:t>
      </w:r>
      <w:r w:rsidRPr="00F25A2E">
        <w:rPr>
          <w:color w:val="000000" w:themeColor="text1"/>
          <w:lang w:val="en-GB"/>
        </w:rPr>
        <w:t>10.1016/j.ssresearch.2016.06.021</w:t>
      </w:r>
    </w:p>
    <w:p w14:paraId="79E0E09B" w14:textId="3A84F1BF"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Buchmann, C., DiPrete, T.A., &amp; McDaniel, A. (2008). Gender inequalities in education. </w:t>
      </w:r>
      <w:r w:rsidRPr="00F25A2E">
        <w:rPr>
          <w:i/>
          <w:color w:val="000000" w:themeColor="text1"/>
          <w:lang w:val="en-GB"/>
        </w:rPr>
        <w:t>Annual Review of Sociology, 34,</w:t>
      </w:r>
      <w:r w:rsidRPr="00F25A2E">
        <w:rPr>
          <w:color w:val="000000" w:themeColor="text1"/>
          <w:lang w:val="en-GB"/>
        </w:rPr>
        <w:t xml:space="preserve"> 319</w:t>
      </w:r>
      <w:r w:rsidR="000B4C8E" w:rsidRPr="00F25A2E">
        <w:rPr>
          <w:color w:val="0432FF"/>
          <w:lang w:val="en-GB"/>
        </w:rPr>
        <w:t>–</w:t>
      </w:r>
      <w:r w:rsidRPr="00F25A2E">
        <w:rPr>
          <w:color w:val="000000" w:themeColor="text1"/>
          <w:lang w:val="en-GB"/>
        </w:rPr>
        <w:t xml:space="preserve">337. </w:t>
      </w:r>
      <w:r w:rsidR="00F43849" w:rsidRPr="00F25A2E">
        <w:rPr>
          <w:color w:val="000000" w:themeColor="text1"/>
          <w:lang w:val="en-GB"/>
        </w:rPr>
        <w:t>https://doi.org/</w:t>
      </w:r>
      <w:r w:rsidRPr="00F25A2E">
        <w:rPr>
          <w:color w:val="000000" w:themeColor="text1"/>
          <w:lang w:val="en-GB"/>
        </w:rPr>
        <w:t>10.1146/annurev.soc.34.040507.134719</w:t>
      </w:r>
    </w:p>
    <w:p w14:paraId="431583A8" w14:textId="694EB477"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t xml:space="preserve">Cabrera Rodríguez, L. J. (2013). Social inequality, educational attainment and educational performance in Spain (1990−2012): Regional imbalances have increased. </w:t>
      </w:r>
      <w:r w:rsidRPr="00052826">
        <w:rPr>
          <w:i/>
          <w:iCs/>
          <w:color w:val="000000" w:themeColor="text1"/>
          <w:lang w:val="es-ES"/>
        </w:rPr>
        <w:t>Revista de Estudios Regionales</w:t>
      </w:r>
      <w:r w:rsidRPr="00052826">
        <w:rPr>
          <w:color w:val="000000" w:themeColor="text1"/>
          <w:lang w:val="es-ES"/>
        </w:rPr>
        <w:t xml:space="preserve">, </w:t>
      </w:r>
      <w:r w:rsidRPr="00052826">
        <w:rPr>
          <w:i/>
          <w:iCs/>
          <w:color w:val="000000" w:themeColor="text1"/>
          <w:lang w:val="es-ES"/>
        </w:rPr>
        <w:t>98</w:t>
      </w:r>
      <w:r w:rsidRPr="00052826">
        <w:rPr>
          <w:color w:val="000000" w:themeColor="text1"/>
          <w:lang w:val="es-ES"/>
        </w:rPr>
        <w:t>, 15</w:t>
      </w:r>
      <w:r w:rsidR="000B4C8E" w:rsidRPr="00052826">
        <w:rPr>
          <w:color w:val="000000" w:themeColor="text1"/>
          <w:lang w:val="es-ES"/>
        </w:rPr>
        <w:t>–</w:t>
      </w:r>
      <w:r w:rsidRPr="00052826">
        <w:rPr>
          <w:color w:val="000000" w:themeColor="text1"/>
          <w:lang w:val="es-ES"/>
        </w:rPr>
        <w:t>49.</w:t>
      </w:r>
    </w:p>
    <w:p w14:paraId="2B68ACDC" w14:textId="1A2BDC36"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Cabrera, L., Pérez, C., Santana, F., &amp; Betancort, M. (2019). </w:t>
      </w:r>
      <w:r w:rsidRPr="00F25A2E">
        <w:rPr>
          <w:color w:val="000000" w:themeColor="text1"/>
          <w:lang w:val="en-GB"/>
        </w:rPr>
        <w:t xml:space="preserve">School disaffection of repeater students in the second year of compulsory education system. </w:t>
      </w:r>
      <w:r w:rsidRPr="00F25A2E">
        <w:rPr>
          <w:i/>
          <w:color w:val="000000" w:themeColor="text1"/>
          <w:lang w:val="en-GB"/>
        </w:rPr>
        <w:t>International Journal of Sociology of Education, 8</w:t>
      </w:r>
      <w:r w:rsidRPr="00F25A2E">
        <w:rPr>
          <w:color w:val="000000" w:themeColor="text1"/>
          <w:lang w:val="en-GB"/>
        </w:rPr>
        <w:t>(2), 173</w:t>
      </w:r>
      <w:r w:rsidR="000B4C8E" w:rsidRPr="00F25A2E">
        <w:rPr>
          <w:color w:val="0432FF"/>
          <w:lang w:val="en-GB"/>
        </w:rPr>
        <w:t>–</w:t>
      </w:r>
      <w:r w:rsidRPr="00F25A2E">
        <w:rPr>
          <w:color w:val="000000" w:themeColor="text1"/>
          <w:lang w:val="en-GB"/>
        </w:rPr>
        <w:t xml:space="preserve">203. </w:t>
      </w:r>
      <w:r w:rsidR="00F43849" w:rsidRPr="00F25A2E">
        <w:rPr>
          <w:color w:val="000000" w:themeColor="text1"/>
          <w:lang w:val="en-GB"/>
        </w:rPr>
        <w:t>https://doi.org/</w:t>
      </w:r>
      <w:r w:rsidRPr="00F25A2E">
        <w:rPr>
          <w:color w:val="000000" w:themeColor="text1"/>
          <w:lang w:val="en-GB"/>
        </w:rPr>
        <w:t>10.17583/rise.2019.4139</w:t>
      </w:r>
    </w:p>
    <w:p w14:paraId="69BC2BD1" w14:textId="1DB8A669"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Cabus, S., &amp; De Witte, K. (2016). Why do students leave education early? Theory and evidence on high school dropout rates. </w:t>
      </w:r>
      <w:r w:rsidRPr="00F25A2E">
        <w:rPr>
          <w:i/>
          <w:iCs/>
          <w:color w:val="000000" w:themeColor="text1"/>
          <w:lang w:val="en-GB"/>
        </w:rPr>
        <w:t>Journal of Forecasting</w:t>
      </w:r>
      <w:r w:rsidRPr="00F25A2E">
        <w:rPr>
          <w:color w:val="000000" w:themeColor="text1"/>
          <w:lang w:val="en-GB"/>
        </w:rPr>
        <w:t xml:space="preserve">, </w:t>
      </w:r>
      <w:r w:rsidRPr="00F25A2E">
        <w:rPr>
          <w:i/>
          <w:iCs/>
          <w:color w:val="000000" w:themeColor="text1"/>
          <w:lang w:val="en-GB"/>
        </w:rPr>
        <w:t>35</w:t>
      </w:r>
      <w:r w:rsidR="0005639A" w:rsidRPr="00F25A2E">
        <w:rPr>
          <w:iCs/>
          <w:color w:val="000000" w:themeColor="text1"/>
          <w:lang w:val="en-GB"/>
        </w:rPr>
        <w:t>(8)</w:t>
      </w:r>
      <w:r w:rsidRPr="00F25A2E">
        <w:rPr>
          <w:color w:val="000000" w:themeColor="text1"/>
          <w:lang w:val="en-GB"/>
        </w:rPr>
        <w:t xml:space="preserve">, 690–702. </w:t>
      </w:r>
      <w:r w:rsidR="00F43849" w:rsidRPr="00F25A2E">
        <w:rPr>
          <w:color w:val="000000" w:themeColor="text1"/>
          <w:lang w:val="en-GB"/>
        </w:rPr>
        <w:t>https://doi.org/</w:t>
      </w:r>
      <w:r w:rsidRPr="00F25A2E">
        <w:rPr>
          <w:color w:val="000000" w:themeColor="text1"/>
          <w:lang w:val="en-GB"/>
        </w:rPr>
        <w:t>10.1002/for.2394</w:t>
      </w:r>
    </w:p>
    <w:p w14:paraId="72E9DE18" w14:textId="1265D185"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Carabaña, J. (2008). </w:t>
      </w:r>
      <w:r w:rsidRPr="00052826">
        <w:rPr>
          <w:i/>
          <w:iCs/>
          <w:color w:val="000000" w:themeColor="text1"/>
          <w:lang w:val="es-ES"/>
        </w:rPr>
        <w:t>Las diferencias entre países y regiones en las pruebas PISA</w:t>
      </w:r>
      <w:r w:rsidRPr="00052826">
        <w:rPr>
          <w:color w:val="000000" w:themeColor="text1"/>
          <w:lang w:val="es-ES"/>
        </w:rPr>
        <w:t xml:space="preserve">. </w:t>
      </w:r>
      <w:r w:rsidR="000B4C8E" w:rsidRPr="00F25A2E">
        <w:rPr>
          <w:color w:val="000000" w:themeColor="text1"/>
          <w:lang w:val="en-GB"/>
        </w:rPr>
        <w:t>R</w:t>
      </w:r>
      <w:r w:rsidR="00067807" w:rsidRPr="00F25A2E">
        <w:rPr>
          <w:color w:val="000000" w:themeColor="text1"/>
          <w:lang w:val="en-GB"/>
        </w:rPr>
        <w:t>eport.</w:t>
      </w:r>
      <w:r w:rsidR="000B4C8E" w:rsidRPr="00F25A2E">
        <w:rPr>
          <w:color w:val="000000" w:themeColor="text1"/>
          <w:lang w:val="en-GB"/>
        </w:rPr>
        <w:t xml:space="preserve"> </w:t>
      </w:r>
      <w:r w:rsidRPr="00F25A2E">
        <w:rPr>
          <w:color w:val="000000" w:themeColor="text1"/>
          <w:lang w:val="en-GB"/>
        </w:rPr>
        <w:t>Retrieved</w:t>
      </w:r>
      <w:r w:rsidR="000B4C8E" w:rsidRPr="00F25A2E">
        <w:rPr>
          <w:color w:val="000000" w:themeColor="text1"/>
          <w:lang w:val="en-GB"/>
        </w:rPr>
        <w:t xml:space="preserve"> </w:t>
      </w:r>
      <w:r w:rsidR="00067807" w:rsidRPr="00F25A2E">
        <w:rPr>
          <w:color w:val="000000" w:themeColor="text1"/>
          <w:lang w:val="en-GB"/>
        </w:rPr>
        <w:t>in May 2020</w:t>
      </w:r>
      <w:r w:rsidR="000B4C8E" w:rsidRPr="00F25A2E">
        <w:rPr>
          <w:color w:val="000000" w:themeColor="text1"/>
          <w:lang w:val="en-GB"/>
        </w:rPr>
        <w:t xml:space="preserve"> </w:t>
      </w:r>
      <w:r w:rsidRPr="00F25A2E">
        <w:rPr>
          <w:color w:val="000000" w:themeColor="text1"/>
          <w:lang w:val="en-GB"/>
        </w:rPr>
        <w:t xml:space="preserve">from </w:t>
      </w:r>
      <w:r w:rsidR="00067807" w:rsidRPr="00F25A2E">
        <w:rPr>
          <w:color w:val="000000" w:themeColor="text1"/>
          <w:lang w:val="en-GB"/>
        </w:rPr>
        <w:t>https://colegiodeemeritos.es/wp-content/uploads/2020/05/pisa_carabana_vf.pdf</w:t>
      </w:r>
    </w:p>
    <w:p w14:paraId="10FA3183" w14:textId="0608783D" w:rsidR="00310E38" w:rsidRPr="00052826" w:rsidRDefault="00310E38" w:rsidP="006D08A5">
      <w:pPr>
        <w:shd w:val="clear" w:color="auto" w:fill="FFFFFF" w:themeFill="background1"/>
        <w:ind w:left="480" w:hanging="480"/>
        <w:rPr>
          <w:color w:val="000000" w:themeColor="text1"/>
          <w:lang w:val="es-ES"/>
        </w:rPr>
      </w:pPr>
      <w:proofErr w:type="spellStart"/>
      <w:r w:rsidRPr="00F25A2E">
        <w:rPr>
          <w:color w:val="000000" w:themeColor="text1"/>
          <w:lang w:val="en-GB"/>
        </w:rPr>
        <w:t>Carabaña</w:t>
      </w:r>
      <w:proofErr w:type="spellEnd"/>
      <w:r w:rsidRPr="00F25A2E">
        <w:rPr>
          <w:color w:val="000000" w:themeColor="text1"/>
          <w:lang w:val="en-GB"/>
        </w:rPr>
        <w:t xml:space="preserve">, J. (2017). Will school enrolment drop if employment increases? </w:t>
      </w:r>
      <w:r w:rsidRPr="00052826">
        <w:rPr>
          <w:i/>
          <w:iCs/>
          <w:color w:val="000000" w:themeColor="text1"/>
          <w:lang w:val="es-ES"/>
        </w:rPr>
        <w:t>Revista Española de Sociología</w:t>
      </w:r>
      <w:r w:rsidRPr="00052826">
        <w:rPr>
          <w:color w:val="000000" w:themeColor="text1"/>
          <w:lang w:val="es-ES"/>
        </w:rPr>
        <w:t xml:space="preserve">, </w:t>
      </w:r>
      <w:r w:rsidRPr="00052826">
        <w:rPr>
          <w:i/>
          <w:iCs/>
          <w:color w:val="000000" w:themeColor="text1"/>
          <w:lang w:val="es-ES"/>
        </w:rPr>
        <w:t>27</w:t>
      </w:r>
      <w:r w:rsidR="00067807" w:rsidRPr="00052826">
        <w:rPr>
          <w:iCs/>
          <w:color w:val="000000" w:themeColor="text1"/>
          <w:lang w:val="es-ES"/>
        </w:rPr>
        <w:t>(1)</w:t>
      </w:r>
      <w:r w:rsidRPr="00052826">
        <w:rPr>
          <w:color w:val="000000" w:themeColor="text1"/>
          <w:lang w:val="es-ES"/>
        </w:rPr>
        <w:t xml:space="preserve">, 145–157. </w:t>
      </w:r>
      <w:r w:rsidR="00F43849" w:rsidRPr="00052826">
        <w:rPr>
          <w:color w:val="000000" w:themeColor="text1"/>
          <w:lang w:val="es-ES"/>
        </w:rPr>
        <w:t>https://doi.org/</w:t>
      </w:r>
      <w:r w:rsidRPr="00052826">
        <w:rPr>
          <w:color w:val="000000" w:themeColor="text1"/>
          <w:lang w:val="es-ES"/>
        </w:rPr>
        <w:t>10.22325/fes/res.2018.10</w:t>
      </w:r>
    </w:p>
    <w:p w14:paraId="694A2C8E" w14:textId="77777777"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Carrasco, S., Narciso, L., &amp; Bertrán, M. (2018). </w:t>
      </w:r>
      <w:r w:rsidRPr="00F25A2E">
        <w:rPr>
          <w:color w:val="000000" w:themeColor="text1"/>
          <w:lang w:val="en-GB"/>
        </w:rPr>
        <w:t xml:space="preserve">Neglected aspirations: Academic trajectories and the risk of early school leaving amongst immigrant and Roma youth in Spain. In L. Van Praag, W. Nouwen, R. Van Caudenberg, N. </w:t>
      </w:r>
      <w:proofErr w:type="spellStart"/>
      <w:r w:rsidRPr="00F25A2E">
        <w:rPr>
          <w:color w:val="000000" w:themeColor="text1"/>
          <w:lang w:val="en-GB"/>
        </w:rPr>
        <w:t>Clycq</w:t>
      </w:r>
      <w:proofErr w:type="spellEnd"/>
      <w:r w:rsidRPr="00F25A2E">
        <w:rPr>
          <w:color w:val="000000" w:themeColor="text1"/>
          <w:lang w:val="en-GB"/>
        </w:rPr>
        <w:t xml:space="preserve">, &amp; C. Timmerman (Eds.), </w:t>
      </w:r>
      <w:r w:rsidRPr="00F25A2E">
        <w:rPr>
          <w:i/>
          <w:iCs/>
          <w:color w:val="000000" w:themeColor="text1"/>
          <w:lang w:val="en-GB"/>
        </w:rPr>
        <w:t>Comparative perspectives on early school leaving in the European Union</w:t>
      </w:r>
      <w:r w:rsidRPr="00F25A2E">
        <w:rPr>
          <w:color w:val="000000" w:themeColor="text1"/>
          <w:lang w:val="en-GB"/>
        </w:rPr>
        <w:t xml:space="preserve"> (pp. 164–182). New York: Routledge.</w:t>
      </w:r>
    </w:p>
    <w:p w14:paraId="5D9C25BE" w14:textId="77777777" w:rsidR="00310E38" w:rsidRPr="00052826" w:rsidRDefault="00310E38" w:rsidP="006D08A5">
      <w:pPr>
        <w:shd w:val="clear" w:color="auto" w:fill="FFFFFF" w:themeFill="background1"/>
        <w:ind w:left="480" w:hanging="480"/>
        <w:rPr>
          <w:color w:val="000000" w:themeColor="text1"/>
          <w:lang w:val="es-ES"/>
        </w:rPr>
      </w:pPr>
      <w:proofErr w:type="spellStart"/>
      <w:r w:rsidRPr="00F25A2E">
        <w:rPr>
          <w:color w:val="000000" w:themeColor="text1"/>
          <w:lang w:val="en-GB"/>
        </w:rPr>
        <w:lastRenderedPageBreak/>
        <w:t>Casquero</w:t>
      </w:r>
      <w:proofErr w:type="spellEnd"/>
      <w:r w:rsidRPr="00F25A2E">
        <w:rPr>
          <w:color w:val="000000" w:themeColor="text1"/>
          <w:lang w:val="en-GB"/>
        </w:rPr>
        <w:t xml:space="preserve"> Tomás, A., &amp; Navarro Gómez, M. L. (2010). Determinants of early </w:t>
      </w:r>
      <w:proofErr w:type="gramStart"/>
      <w:r w:rsidRPr="00F25A2E">
        <w:rPr>
          <w:color w:val="000000" w:themeColor="text1"/>
          <w:lang w:val="en-GB"/>
        </w:rPr>
        <w:t>drop-outs</w:t>
      </w:r>
      <w:proofErr w:type="gramEnd"/>
      <w:r w:rsidRPr="00F25A2E">
        <w:rPr>
          <w:color w:val="000000" w:themeColor="text1"/>
          <w:lang w:val="en-GB"/>
        </w:rPr>
        <w:t xml:space="preserve"> in Spain: An analysis by gender. </w:t>
      </w:r>
      <w:r w:rsidRPr="00052826">
        <w:rPr>
          <w:i/>
          <w:iCs/>
          <w:color w:val="000000" w:themeColor="text1"/>
          <w:lang w:val="es-ES"/>
        </w:rPr>
        <w:t>Revista de Educación</w:t>
      </w:r>
      <w:r w:rsidRPr="00052826">
        <w:rPr>
          <w:color w:val="000000" w:themeColor="text1"/>
          <w:lang w:val="es-ES"/>
        </w:rPr>
        <w:t xml:space="preserve">, </w:t>
      </w:r>
      <w:r w:rsidRPr="00052826">
        <w:rPr>
          <w:i/>
          <w:iCs/>
          <w:color w:val="000000" w:themeColor="text1"/>
          <w:lang w:val="es-ES"/>
        </w:rPr>
        <w:t>n</w:t>
      </w:r>
      <w:r w:rsidRPr="00052826">
        <w:rPr>
          <w:i/>
          <w:iCs/>
          <w:color w:val="000000" w:themeColor="text1"/>
          <w:vertAlign w:val="superscript"/>
          <w:lang w:val="es-ES"/>
        </w:rPr>
        <w:t>o</w:t>
      </w:r>
      <w:r w:rsidRPr="00052826">
        <w:rPr>
          <w:i/>
          <w:iCs/>
          <w:color w:val="000000" w:themeColor="text1"/>
          <w:lang w:val="es-ES"/>
        </w:rPr>
        <w:t xml:space="preserve"> extraordinario</w:t>
      </w:r>
      <w:r w:rsidRPr="00052826">
        <w:rPr>
          <w:color w:val="000000" w:themeColor="text1"/>
          <w:lang w:val="es-ES"/>
        </w:rPr>
        <w:t>, 191–223.</w:t>
      </w:r>
    </w:p>
    <w:p w14:paraId="4A60C1EA" w14:textId="77777777"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t>Cebolla-</w:t>
      </w:r>
      <w:proofErr w:type="spellStart"/>
      <w:r w:rsidRPr="00052826">
        <w:rPr>
          <w:color w:val="000000" w:themeColor="text1"/>
          <w:lang w:val="es-ES"/>
        </w:rPr>
        <w:t>Boado</w:t>
      </w:r>
      <w:proofErr w:type="spellEnd"/>
      <w:r w:rsidRPr="00052826">
        <w:rPr>
          <w:color w:val="000000" w:themeColor="text1"/>
          <w:lang w:val="es-ES"/>
        </w:rPr>
        <w:t xml:space="preserve">, H., </w:t>
      </w:r>
      <w:proofErr w:type="spellStart"/>
      <w:r w:rsidRPr="00052826">
        <w:rPr>
          <w:color w:val="000000" w:themeColor="text1"/>
          <w:lang w:val="es-ES"/>
        </w:rPr>
        <w:t>Radl</w:t>
      </w:r>
      <w:proofErr w:type="spellEnd"/>
      <w:r w:rsidRPr="00052826">
        <w:rPr>
          <w:color w:val="000000" w:themeColor="text1"/>
          <w:lang w:val="es-ES"/>
        </w:rPr>
        <w:t xml:space="preserve">, J., &amp; Salazar, L. (2014). </w:t>
      </w:r>
      <w:r w:rsidRPr="00052826">
        <w:rPr>
          <w:i/>
          <w:iCs/>
          <w:color w:val="000000" w:themeColor="text1"/>
          <w:lang w:val="es-ES"/>
        </w:rPr>
        <w:t>Aprendizaje y ciclo vital. La desigualdad de oportunidades desde la educación preescolar hasta la edad adulta</w:t>
      </w:r>
      <w:r w:rsidRPr="00052826">
        <w:rPr>
          <w:color w:val="000000" w:themeColor="text1"/>
          <w:lang w:val="es-ES"/>
        </w:rPr>
        <w:t>. Barcelona: Obra Social La Caixa.</w:t>
      </w:r>
    </w:p>
    <w:p w14:paraId="7CFC0A51" w14:textId="1ACED7CE"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Cebolla-</w:t>
      </w:r>
      <w:proofErr w:type="spellStart"/>
      <w:r w:rsidRPr="00052826">
        <w:rPr>
          <w:color w:val="000000" w:themeColor="text1"/>
          <w:lang w:val="es-ES"/>
        </w:rPr>
        <w:t>Boado</w:t>
      </w:r>
      <w:proofErr w:type="spellEnd"/>
      <w:r w:rsidRPr="00052826">
        <w:rPr>
          <w:color w:val="000000" w:themeColor="text1"/>
          <w:lang w:val="es-ES"/>
        </w:rPr>
        <w:t xml:space="preserve">, H., </w:t>
      </w:r>
      <w:proofErr w:type="spellStart"/>
      <w:r w:rsidRPr="00052826">
        <w:rPr>
          <w:color w:val="000000" w:themeColor="text1"/>
          <w:lang w:val="es-ES"/>
        </w:rPr>
        <w:t>Radl</w:t>
      </w:r>
      <w:proofErr w:type="spellEnd"/>
      <w:r w:rsidRPr="00052826">
        <w:rPr>
          <w:color w:val="000000" w:themeColor="text1"/>
          <w:lang w:val="es-ES"/>
        </w:rPr>
        <w:t xml:space="preserve">, J., &amp; Salazar, L. (2017). </w:t>
      </w:r>
      <w:r w:rsidRPr="00F25A2E">
        <w:rPr>
          <w:color w:val="000000" w:themeColor="text1"/>
          <w:lang w:val="en-GB"/>
        </w:rPr>
        <w:t xml:space="preserve">Preschool education as the great equalizer? A cross-country study into the sources of inequality in reading competence. </w:t>
      </w:r>
      <w:r w:rsidRPr="00F25A2E">
        <w:rPr>
          <w:i/>
          <w:iCs/>
          <w:color w:val="000000" w:themeColor="text1"/>
          <w:lang w:val="en-GB"/>
        </w:rPr>
        <w:t xml:space="preserve">Acta </w:t>
      </w:r>
      <w:proofErr w:type="spellStart"/>
      <w:r w:rsidRPr="00F25A2E">
        <w:rPr>
          <w:i/>
          <w:iCs/>
          <w:color w:val="000000" w:themeColor="text1"/>
          <w:lang w:val="en-GB"/>
        </w:rPr>
        <w:t>Sociologica</w:t>
      </w:r>
      <w:proofErr w:type="spellEnd"/>
      <w:r w:rsidRPr="00F25A2E">
        <w:rPr>
          <w:color w:val="000000" w:themeColor="text1"/>
          <w:lang w:val="en-GB"/>
        </w:rPr>
        <w:t xml:space="preserve">, </w:t>
      </w:r>
      <w:r w:rsidRPr="00F25A2E">
        <w:rPr>
          <w:i/>
          <w:iCs/>
          <w:color w:val="000000" w:themeColor="text1"/>
          <w:lang w:val="en-GB"/>
        </w:rPr>
        <w:t>60</w:t>
      </w:r>
      <w:r w:rsidR="00067807" w:rsidRPr="00F25A2E">
        <w:rPr>
          <w:iCs/>
          <w:color w:val="000000" w:themeColor="text1"/>
          <w:lang w:val="en-GB"/>
        </w:rPr>
        <w:t>(1)</w:t>
      </w:r>
      <w:r w:rsidRPr="00F25A2E">
        <w:rPr>
          <w:color w:val="000000" w:themeColor="text1"/>
          <w:lang w:val="en-GB"/>
        </w:rPr>
        <w:t xml:space="preserve">, 41–60. </w:t>
      </w:r>
      <w:r w:rsidR="00F43849" w:rsidRPr="00F25A2E">
        <w:rPr>
          <w:color w:val="000000" w:themeColor="text1"/>
          <w:lang w:val="en-GB"/>
        </w:rPr>
        <w:t>https://doi.org/</w:t>
      </w:r>
      <w:r w:rsidRPr="00F25A2E">
        <w:rPr>
          <w:color w:val="000000" w:themeColor="text1"/>
          <w:lang w:val="en-GB"/>
        </w:rPr>
        <w:t>10.1177/0001699316654529</w:t>
      </w:r>
    </w:p>
    <w:p w14:paraId="6C24BD3C" w14:textId="2388204F"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t xml:space="preserve">Choi, Á., &amp; </w:t>
      </w:r>
      <w:proofErr w:type="spellStart"/>
      <w:r w:rsidRPr="00F25A2E">
        <w:rPr>
          <w:color w:val="000000" w:themeColor="text1"/>
          <w:lang w:val="en-GB"/>
        </w:rPr>
        <w:t>Jerrim</w:t>
      </w:r>
      <w:proofErr w:type="spellEnd"/>
      <w:r w:rsidRPr="00F25A2E">
        <w:rPr>
          <w:color w:val="000000" w:themeColor="text1"/>
          <w:lang w:val="en-GB"/>
        </w:rPr>
        <w:t xml:space="preserve">, J. (2016). The use (and misuse) of PISA in guiding policy reform: The case of Spain. </w:t>
      </w:r>
      <w:r w:rsidRPr="00052826">
        <w:rPr>
          <w:i/>
          <w:iCs/>
          <w:color w:val="000000" w:themeColor="text1"/>
          <w:lang w:val="es-ES"/>
        </w:rPr>
        <w:t xml:space="preserve">Comparative </w:t>
      </w:r>
      <w:proofErr w:type="spellStart"/>
      <w:r w:rsidRPr="00052826">
        <w:rPr>
          <w:i/>
          <w:iCs/>
          <w:color w:val="000000" w:themeColor="text1"/>
          <w:lang w:val="es-ES"/>
        </w:rPr>
        <w:t>Education</w:t>
      </w:r>
      <w:proofErr w:type="spellEnd"/>
      <w:r w:rsidRPr="00052826">
        <w:rPr>
          <w:color w:val="000000" w:themeColor="text1"/>
          <w:lang w:val="es-ES"/>
        </w:rPr>
        <w:t xml:space="preserve">, </w:t>
      </w:r>
      <w:r w:rsidRPr="00052826">
        <w:rPr>
          <w:i/>
          <w:iCs/>
          <w:color w:val="000000" w:themeColor="text1"/>
          <w:lang w:val="es-ES"/>
        </w:rPr>
        <w:t>52</w:t>
      </w:r>
      <w:r w:rsidR="00067807" w:rsidRPr="00052826">
        <w:rPr>
          <w:iCs/>
          <w:color w:val="000000" w:themeColor="text1"/>
          <w:lang w:val="es-ES"/>
        </w:rPr>
        <w:t>(2)</w:t>
      </w:r>
      <w:r w:rsidRPr="00052826">
        <w:rPr>
          <w:color w:val="000000" w:themeColor="text1"/>
          <w:lang w:val="es-ES"/>
        </w:rPr>
        <w:t xml:space="preserve">, 230–245. </w:t>
      </w:r>
      <w:r w:rsidR="00F43849" w:rsidRPr="00052826">
        <w:rPr>
          <w:color w:val="000000" w:themeColor="text1"/>
          <w:lang w:val="es-ES"/>
        </w:rPr>
        <w:t>https://doi.org/</w:t>
      </w:r>
      <w:r w:rsidRPr="00052826">
        <w:rPr>
          <w:color w:val="000000" w:themeColor="text1"/>
          <w:lang w:val="es-ES"/>
        </w:rPr>
        <w:t>10.1080/03050068.2016.1142739</w:t>
      </w:r>
    </w:p>
    <w:p w14:paraId="587C91B8" w14:textId="24991267"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Cordero Ferrera, J. M., Manchón López, C., &amp; Simancas Rodríguez, R. (2014). </w:t>
      </w:r>
      <w:r w:rsidRPr="00F25A2E">
        <w:rPr>
          <w:color w:val="000000" w:themeColor="text1"/>
          <w:lang w:val="en-GB"/>
        </w:rPr>
        <w:t xml:space="preserve">Repetition and explanatory factors in Spain. </w:t>
      </w:r>
      <w:r w:rsidRPr="00F25A2E">
        <w:rPr>
          <w:i/>
          <w:iCs/>
          <w:color w:val="000000" w:themeColor="text1"/>
          <w:lang w:val="en-GB"/>
        </w:rPr>
        <w:t xml:space="preserve">Revista de </w:t>
      </w:r>
      <w:proofErr w:type="spellStart"/>
      <w:r w:rsidRPr="00F25A2E">
        <w:rPr>
          <w:i/>
          <w:iCs/>
          <w:color w:val="000000" w:themeColor="text1"/>
          <w:lang w:val="en-GB"/>
        </w:rPr>
        <w:t>Educación</w:t>
      </w:r>
      <w:proofErr w:type="spellEnd"/>
      <w:r w:rsidRPr="00F25A2E">
        <w:rPr>
          <w:color w:val="000000" w:themeColor="text1"/>
          <w:lang w:val="en-GB"/>
        </w:rPr>
        <w:t xml:space="preserve">, </w:t>
      </w:r>
      <w:r w:rsidRPr="00F25A2E">
        <w:rPr>
          <w:i/>
          <w:iCs/>
          <w:color w:val="000000" w:themeColor="text1"/>
          <w:lang w:val="en-GB"/>
        </w:rPr>
        <w:t>365</w:t>
      </w:r>
      <w:r w:rsidRPr="00F25A2E">
        <w:rPr>
          <w:color w:val="000000" w:themeColor="text1"/>
          <w:lang w:val="en-GB"/>
        </w:rPr>
        <w:t xml:space="preserve">, 12–37. </w:t>
      </w:r>
      <w:r w:rsidR="00F43849" w:rsidRPr="00F25A2E">
        <w:rPr>
          <w:color w:val="000000" w:themeColor="text1"/>
          <w:lang w:val="en-GB"/>
        </w:rPr>
        <w:t>https://doi.org/</w:t>
      </w:r>
      <w:r w:rsidRPr="00F25A2E">
        <w:rPr>
          <w:color w:val="000000" w:themeColor="text1"/>
          <w:lang w:val="en-GB"/>
        </w:rPr>
        <w:t>10.4438/1988.592X-RE-2014-365-263</w:t>
      </w:r>
    </w:p>
    <w:p w14:paraId="78DB1B47" w14:textId="5CE9DA3A" w:rsidR="00CB4E47" w:rsidRPr="00F25A2E" w:rsidRDefault="00CB4E47" w:rsidP="006D08A5">
      <w:pPr>
        <w:shd w:val="clear" w:color="auto" w:fill="FFFFFF" w:themeFill="background1"/>
        <w:ind w:left="480" w:hanging="480"/>
        <w:rPr>
          <w:color w:val="000000" w:themeColor="text1"/>
          <w:lang w:val="en-GB"/>
        </w:rPr>
      </w:pPr>
      <w:r w:rsidRPr="00052826">
        <w:rPr>
          <w:color w:val="000000" w:themeColor="text1"/>
          <w:lang w:val="es-ES"/>
        </w:rPr>
        <w:t xml:space="preserve">De </w:t>
      </w:r>
      <w:proofErr w:type="spellStart"/>
      <w:r w:rsidRPr="00052826">
        <w:rPr>
          <w:color w:val="000000" w:themeColor="text1"/>
          <w:lang w:val="es-ES"/>
        </w:rPr>
        <w:t>Witte</w:t>
      </w:r>
      <w:proofErr w:type="spellEnd"/>
      <w:r w:rsidRPr="00052826">
        <w:rPr>
          <w:color w:val="000000" w:themeColor="text1"/>
          <w:lang w:val="es-ES"/>
        </w:rPr>
        <w:t xml:space="preserve">, K., &amp; Van </w:t>
      </w:r>
      <w:proofErr w:type="spellStart"/>
      <w:r w:rsidRPr="00052826">
        <w:rPr>
          <w:color w:val="000000" w:themeColor="text1"/>
          <w:lang w:val="es-ES"/>
        </w:rPr>
        <w:t>Klaveren</w:t>
      </w:r>
      <w:proofErr w:type="spellEnd"/>
      <w:r w:rsidRPr="00052826">
        <w:rPr>
          <w:color w:val="000000" w:themeColor="text1"/>
          <w:lang w:val="es-ES"/>
        </w:rPr>
        <w:t xml:space="preserve">, C. (2012). </w:t>
      </w:r>
      <w:r w:rsidRPr="00F25A2E">
        <w:rPr>
          <w:color w:val="000000" w:themeColor="text1"/>
          <w:lang w:val="en-GB"/>
        </w:rPr>
        <w:t xml:space="preserve">Comparing students by a matching analysis – on early school leaving in Dutch cities. </w:t>
      </w:r>
      <w:r w:rsidRPr="00F25A2E">
        <w:rPr>
          <w:i/>
          <w:color w:val="000000" w:themeColor="text1"/>
          <w:lang w:val="en-GB"/>
        </w:rPr>
        <w:t>Applied Economics, 44</w:t>
      </w:r>
      <w:r w:rsidR="00067807" w:rsidRPr="00F25A2E">
        <w:rPr>
          <w:color w:val="000000" w:themeColor="text1"/>
          <w:lang w:val="en-GB"/>
        </w:rPr>
        <w:t>(28)</w:t>
      </w:r>
      <w:r w:rsidRPr="00F25A2E">
        <w:rPr>
          <w:color w:val="000000" w:themeColor="text1"/>
          <w:lang w:val="en-GB"/>
        </w:rPr>
        <w:t xml:space="preserve">, 3679-3690. </w:t>
      </w:r>
      <w:r w:rsidR="00F43849" w:rsidRPr="00F25A2E">
        <w:rPr>
          <w:color w:val="000000" w:themeColor="text1"/>
          <w:lang w:val="en-GB"/>
        </w:rPr>
        <w:t>https://doi.org/</w:t>
      </w:r>
      <w:r w:rsidRPr="00F25A2E">
        <w:rPr>
          <w:color w:val="000000" w:themeColor="text1"/>
          <w:lang w:val="en-GB"/>
        </w:rPr>
        <w:t>10.1080/00036846.2011.579069,</w:t>
      </w:r>
    </w:p>
    <w:p w14:paraId="3DEF217A" w14:textId="61D5EB1F"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Donlevy, V., Day, L., </w:t>
      </w:r>
      <w:proofErr w:type="spellStart"/>
      <w:r w:rsidRPr="00F25A2E">
        <w:rPr>
          <w:color w:val="000000" w:themeColor="text1"/>
          <w:lang w:val="en-GB"/>
        </w:rPr>
        <w:t>Andriescu</w:t>
      </w:r>
      <w:proofErr w:type="spellEnd"/>
      <w:r w:rsidRPr="00F25A2E">
        <w:rPr>
          <w:color w:val="000000" w:themeColor="text1"/>
          <w:lang w:val="en-GB"/>
        </w:rPr>
        <w:t xml:space="preserve">, M., &amp; Downes, P. (2019). </w:t>
      </w:r>
      <w:r w:rsidRPr="00F25A2E">
        <w:rPr>
          <w:i/>
          <w:color w:val="000000" w:themeColor="text1"/>
          <w:lang w:val="en-GB"/>
        </w:rPr>
        <w:t xml:space="preserve">Assessment of the implementation of the 2011 council recommendation on policies to reduce early school leaving. </w:t>
      </w:r>
      <w:r w:rsidRPr="00F25A2E">
        <w:rPr>
          <w:color w:val="000000" w:themeColor="text1"/>
          <w:lang w:val="en-GB"/>
        </w:rPr>
        <w:t>Brussels: European Commission.</w:t>
      </w:r>
    </w:p>
    <w:p w14:paraId="66A9FB2C" w14:textId="2F5A9A8A" w:rsidR="00887BE2" w:rsidRPr="00F25A2E" w:rsidRDefault="00887BE2" w:rsidP="006D08A5">
      <w:pPr>
        <w:shd w:val="clear" w:color="auto" w:fill="FFFFFF" w:themeFill="background1"/>
        <w:ind w:left="480" w:hanging="480"/>
        <w:rPr>
          <w:color w:val="000000" w:themeColor="text1"/>
          <w:lang w:val="en-GB"/>
        </w:rPr>
      </w:pPr>
      <w:r w:rsidRPr="00F25A2E">
        <w:rPr>
          <w:color w:val="000000" w:themeColor="text1"/>
          <w:lang w:val="en-GB"/>
        </w:rPr>
        <w:t xml:space="preserve">Downes, P. (2013). Developing a framework and agenda for students’ voices in the school system across Europe: from diametric to concentric relational spaces for early school leaving prevention. </w:t>
      </w:r>
      <w:r w:rsidRPr="00F25A2E">
        <w:rPr>
          <w:i/>
          <w:color w:val="000000" w:themeColor="text1"/>
          <w:lang w:val="en-GB"/>
        </w:rPr>
        <w:t>European Journal of Education, 48</w:t>
      </w:r>
      <w:r w:rsidR="00E738FD" w:rsidRPr="00F25A2E">
        <w:rPr>
          <w:color w:val="000000" w:themeColor="text1"/>
          <w:lang w:val="en-GB"/>
        </w:rPr>
        <w:t>(3), 346</w:t>
      </w:r>
      <w:r w:rsidR="000B4C8E" w:rsidRPr="00F25A2E">
        <w:rPr>
          <w:color w:val="0432FF"/>
          <w:lang w:val="en-GB"/>
        </w:rPr>
        <w:t>–</w:t>
      </w:r>
      <w:r w:rsidR="00E738FD" w:rsidRPr="00F25A2E">
        <w:rPr>
          <w:color w:val="000000" w:themeColor="text1"/>
          <w:lang w:val="en-GB"/>
        </w:rPr>
        <w:t xml:space="preserve">362. </w:t>
      </w:r>
      <w:r w:rsidR="00F43849" w:rsidRPr="00F25A2E">
        <w:rPr>
          <w:color w:val="000000" w:themeColor="text1"/>
          <w:lang w:val="en-GB"/>
        </w:rPr>
        <w:t>https://doi.org/</w:t>
      </w:r>
      <w:r w:rsidR="00E738FD" w:rsidRPr="00F25A2E">
        <w:rPr>
          <w:color w:val="000000" w:themeColor="text1"/>
          <w:lang w:val="en-GB"/>
        </w:rPr>
        <w:t>10.1111/ejed.12035</w:t>
      </w:r>
    </w:p>
    <w:p w14:paraId="119F9537" w14:textId="655C585D" w:rsidR="00765219" w:rsidRPr="00F25A2E" w:rsidRDefault="00765219" w:rsidP="006D08A5">
      <w:pPr>
        <w:shd w:val="clear" w:color="auto" w:fill="FFFFFF" w:themeFill="background1"/>
        <w:ind w:left="480" w:hanging="480"/>
        <w:rPr>
          <w:color w:val="000000" w:themeColor="text1"/>
          <w:lang w:val="en-GB"/>
        </w:rPr>
      </w:pPr>
      <w:r w:rsidRPr="00F25A2E">
        <w:rPr>
          <w:color w:val="000000" w:themeColor="text1"/>
          <w:lang w:val="en-GB"/>
        </w:rPr>
        <w:t xml:space="preserve">Downes, P., </w:t>
      </w:r>
      <w:proofErr w:type="spellStart"/>
      <w:r w:rsidRPr="00F25A2E">
        <w:rPr>
          <w:color w:val="000000" w:themeColor="text1"/>
          <w:lang w:val="en-GB"/>
        </w:rPr>
        <w:t>Nairz</w:t>
      </w:r>
      <w:proofErr w:type="spellEnd"/>
      <w:r w:rsidRPr="00F25A2E">
        <w:rPr>
          <w:color w:val="000000" w:themeColor="text1"/>
          <w:lang w:val="en-GB"/>
        </w:rPr>
        <w:t xml:space="preserve">-Wirth, E., &amp; </w:t>
      </w:r>
      <w:proofErr w:type="spellStart"/>
      <w:r w:rsidRPr="00F25A2E">
        <w:rPr>
          <w:color w:val="000000" w:themeColor="text1"/>
          <w:lang w:val="en-GB"/>
        </w:rPr>
        <w:t>Rusinatè</w:t>
      </w:r>
      <w:proofErr w:type="spellEnd"/>
      <w:r w:rsidRPr="00F25A2E">
        <w:rPr>
          <w:color w:val="000000" w:themeColor="text1"/>
          <w:lang w:val="en-GB"/>
        </w:rPr>
        <w:t xml:space="preserve">, V. (2017). </w:t>
      </w:r>
      <w:r w:rsidRPr="00F25A2E">
        <w:rPr>
          <w:i/>
          <w:color w:val="000000" w:themeColor="text1"/>
          <w:lang w:val="en-GB"/>
        </w:rPr>
        <w:t xml:space="preserve">Structural indicators for inclusive systems in and around schools. </w:t>
      </w:r>
      <w:r w:rsidRPr="00F25A2E">
        <w:rPr>
          <w:color w:val="000000" w:themeColor="text1"/>
          <w:lang w:val="en-GB"/>
        </w:rPr>
        <w:t>NESET II report. Lu</w:t>
      </w:r>
      <w:r w:rsidR="000B4C8E" w:rsidRPr="00F25A2E">
        <w:rPr>
          <w:color w:val="0432FF"/>
          <w:lang w:val="en-GB"/>
        </w:rPr>
        <w:t>x</w:t>
      </w:r>
      <w:r w:rsidRPr="00F25A2E">
        <w:rPr>
          <w:color w:val="000000" w:themeColor="text1"/>
          <w:lang w:val="en-GB"/>
        </w:rPr>
        <w:t xml:space="preserve">embourg: Publications Office of the European Union. </w:t>
      </w:r>
      <w:r w:rsidR="00F43849" w:rsidRPr="00F25A2E">
        <w:rPr>
          <w:color w:val="000000" w:themeColor="text1"/>
          <w:lang w:val="en-GB"/>
        </w:rPr>
        <w:t>https://doi.org/</w:t>
      </w:r>
      <w:r w:rsidRPr="00F25A2E">
        <w:rPr>
          <w:color w:val="000000" w:themeColor="text1"/>
          <w:lang w:val="en-GB"/>
        </w:rPr>
        <w:t>10.2766/200506</w:t>
      </w:r>
    </w:p>
    <w:p w14:paraId="19E412CC" w14:textId="4FCF9191" w:rsidR="00310E38" w:rsidRPr="00F25A2E" w:rsidRDefault="00310E38" w:rsidP="006D08A5">
      <w:pPr>
        <w:shd w:val="clear" w:color="auto" w:fill="FFFFFF" w:themeFill="background1"/>
        <w:ind w:left="480" w:hanging="480"/>
        <w:rPr>
          <w:iCs/>
          <w:color w:val="000000" w:themeColor="text1"/>
          <w:lang w:val="en-GB"/>
        </w:rPr>
      </w:pPr>
      <w:r w:rsidRPr="00F25A2E">
        <w:rPr>
          <w:iCs/>
          <w:color w:val="000000" w:themeColor="text1"/>
          <w:lang w:val="en-GB"/>
        </w:rPr>
        <w:t xml:space="preserve">Edgerton, J. D., Peter, T., &amp; Roberts, L.W. (2008). Back to the basics: Socio-Economic, gender, and regional disparities in Canada’s Educational System. </w:t>
      </w:r>
      <w:r w:rsidRPr="00F25A2E">
        <w:rPr>
          <w:i/>
          <w:iCs/>
          <w:color w:val="000000" w:themeColor="text1"/>
          <w:lang w:val="en-GB"/>
        </w:rPr>
        <w:t>Canadian Journal of Education, 31</w:t>
      </w:r>
      <w:r w:rsidRPr="00F25A2E">
        <w:rPr>
          <w:iCs/>
          <w:color w:val="000000" w:themeColor="text1"/>
          <w:lang w:val="en-GB"/>
        </w:rPr>
        <w:t>(4), 861</w:t>
      </w:r>
      <w:r w:rsidR="000B4C8E" w:rsidRPr="00F25A2E">
        <w:rPr>
          <w:color w:val="0432FF"/>
          <w:lang w:val="en-GB"/>
        </w:rPr>
        <w:t>–</w:t>
      </w:r>
      <w:r w:rsidRPr="00F25A2E">
        <w:rPr>
          <w:iCs/>
          <w:color w:val="000000" w:themeColor="text1"/>
          <w:lang w:val="en-GB"/>
        </w:rPr>
        <w:t>888.</w:t>
      </w:r>
    </w:p>
    <w:p w14:paraId="5DB1EEE7" w14:textId="77777777" w:rsidR="00310E38" w:rsidRPr="00F25A2E" w:rsidRDefault="00310E38" w:rsidP="006D08A5">
      <w:pPr>
        <w:shd w:val="clear" w:color="auto" w:fill="FFFFFF" w:themeFill="background1"/>
        <w:ind w:left="480" w:hanging="480"/>
        <w:rPr>
          <w:color w:val="000000" w:themeColor="text1"/>
          <w:lang w:val="en-GB"/>
        </w:rPr>
      </w:pPr>
      <w:r w:rsidRPr="00F25A2E">
        <w:rPr>
          <w:iCs/>
          <w:color w:val="000000" w:themeColor="text1"/>
          <w:lang w:val="en-GB"/>
        </w:rPr>
        <w:t xml:space="preserve">Edgerton, J. D., Peter, T., &amp; Roberts, L.W. (2014). Gendered habitus and gender differences in academic achievement. </w:t>
      </w:r>
      <w:r w:rsidRPr="00F25A2E">
        <w:rPr>
          <w:i/>
          <w:iCs/>
          <w:color w:val="000000" w:themeColor="text1"/>
          <w:lang w:val="en-GB"/>
        </w:rPr>
        <w:t>Alberta Journal of Educational Research, 60</w:t>
      </w:r>
      <w:r w:rsidRPr="00F25A2E">
        <w:rPr>
          <w:iCs/>
          <w:color w:val="000000" w:themeColor="text1"/>
          <w:lang w:val="en-GB"/>
        </w:rPr>
        <w:t>(1), 182−212.</w:t>
      </w:r>
    </w:p>
    <w:p w14:paraId="01C043E7" w14:textId="44BCB9FB" w:rsidR="00741FD0"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European Commission (2010). </w:t>
      </w:r>
      <w:r w:rsidRPr="00F25A2E">
        <w:rPr>
          <w:i/>
          <w:iCs/>
          <w:color w:val="000000" w:themeColor="text1"/>
          <w:lang w:val="en-GB"/>
        </w:rPr>
        <w:t xml:space="preserve">Europe 2020 − A strategy for smart, sustainable and inclusive growth. Commission’s communication </w:t>
      </w:r>
      <w:proofErr w:type="gramStart"/>
      <w:r w:rsidRPr="00F25A2E">
        <w:rPr>
          <w:i/>
          <w:iCs/>
          <w:color w:val="000000" w:themeColor="text1"/>
          <w:lang w:val="en-GB"/>
        </w:rPr>
        <w:t>COM(</w:t>
      </w:r>
      <w:proofErr w:type="gramEnd"/>
      <w:r w:rsidRPr="00F25A2E">
        <w:rPr>
          <w:i/>
          <w:iCs/>
          <w:color w:val="000000" w:themeColor="text1"/>
          <w:lang w:val="en-GB"/>
        </w:rPr>
        <w:t>2010)2020.</w:t>
      </w:r>
      <w:r w:rsidRPr="00F25A2E">
        <w:rPr>
          <w:color w:val="000000" w:themeColor="text1"/>
          <w:lang w:val="en-GB"/>
        </w:rPr>
        <w:t xml:space="preserve"> Brussels</w:t>
      </w:r>
      <w:r w:rsidR="000B4C8E" w:rsidRPr="00F25A2E">
        <w:rPr>
          <w:color w:val="000000" w:themeColor="text1"/>
          <w:lang w:val="en-GB"/>
        </w:rPr>
        <w:t>: European Commission.</w:t>
      </w:r>
    </w:p>
    <w:p w14:paraId="03455A12" w14:textId="66B9E80E" w:rsidR="00367DBF" w:rsidRPr="00F25A2E" w:rsidRDefault="00367DBF" w:rsidP="006D08A5">
      <w:pPr>
        <w:shd w:val="clear" w:color="auto" w:fill="FFFFFF" w:themeFill="background1"/>
        <w:ind w:left="480" w:hanging="480"/>
        <w:rPr>
          <w:color w:val="000000" w:themeColor="text1"/>
          <w:lang w:val="en-GB"/>
        </w:rPr>
      </w:pPr>
      <w:r w:rsidRPr="00F25A2E">
        <w:rPr>
          <w:color w:val="000000" w:themeColor="text1"/>
          <w:lang w:val="en-GB"/>
        </w:rPr>
        <w:t xml:space="preserve">European Commission (2013). </w:t>
      </w:r>
      <w:r w:rsidRPr="00F25A2E">
        <w:rPr>
          <w:i/>
          <w:color w:val="000000" w:themeColor="text1"/>
          <w:lang w:val="en-GB"/>
        </w:rPr>
        <w:t xml:space="preserve">Reducing early school leaving: Key messages and policy support. </w:t>
      </w:r>
      <w:r w:rsidR="00B567D2" w:rsidRPr="00F25A2E">
        <w:rPr>
          <w:color w:val="000000" w:themeColor="text1"/>
          <w:lang w:val="en-GB"/>
        </w:rPr>
        <w:t>Brussels</w:t>
      </w:r>
      <w:r w:rsidR="000B4C8E" w:rsidRPr="00F25A2E">
        <w:rPr>
          <w:color w:val="000000" w:themeColor="text1"/>
          <w:lang w:val="en-GB"/>
        </w:rPr>
        <w:t>: European Commission.</w:t>
      </w:r>
    </w:p>
    <w:p w14:paraId="0E27091C" w14:textId="0E73480C" w:rsidR="00310E38" w:rsidRPr="00F25A2E" w:rsidRDefault="00741FD0" w:rsidP="006D08A5">
      <w:pPr>
        <w:shd w:val="clear" w:color="auto" w:fill="FFFFFF" w:themeFill="background1"/>
        <w:ind w:left="480" w:hanging="480"/>
        <w:rPr>
          <w:color w:val="000000" w:themeColor="text1"/>
          <w:lang w:val="en-GB"/>
        </w:rPr>
      </w:pPr>
      <w:r w:rsidRPr="00F25A2E">
        <w:rPr>
          <w:color w:val="000000" w:themeColor="text1"/>
          <w:lang w:val="en-GB"/>
        </w:rPr>
        <w:t xml:space="preserve">European Commission (2015). </w:t>
      </w:r>
      <w:r w:rsidRPr="00F25A2E">
        <w:rPr>
          <w:i/>
          <w:color w:val="000000" w:themeColor="text1"/>
          <w:lang w:val="en-GB"/>
        </w:rPr>
        <w:t>A whole school approach to tackling early school leaving. Policy messages</w:t>
      </w:r>
      <w:r w:rsidRPr="00F25A2E">
        <w:rPr>
          <w:color w:val="000000" w:themeColor="text1"/>
          <w:lang w:val="en-GB"/>
        </w:rPr>
        <w:t>. Brussels</w:t>
      </w:r>
      <w:r w:rsidR="000B4C8E" w:rsidRPr="00F25A2E">
        <w:rPr>
          <w:color w:val="000000" w:themeColor="text1"/>
          <w:lang w:val="en-GB"/>
        </w:rPr>
        <w:t>: European Commission.</w:t>
      </w:r>
    </w:p>
    <w:p w14:paraId="427559AC" w14:textId="3ACF08B1" w:rsidR="00967253" w:rsidRPr="00F25A2E" w:rsidRDefault="00967253" w:rsidP="001D02E1">
      <w:pPr>
        <w:shd w:val="clear" w:color="auto" w:fill="FFFFFF" w:themeFill="background1"/>
        <w:ind w:left="540" w:hanging="540"/>
        <w:rPr>
          <w:i/>
          <w:color w:val="000000" w:themeColor="text1"/>
        </w:rPr>
      </w:pPr>
      <w:r w:rsidRPr="00F25A2E">
        <w:rPr>
          <w:iCs/>
          <w:color w:val="000000" w:themeColor="text1"/>
          <w:lang w:val="en-GB"/>
        </w:rPr>
        <w:t>European Council of Education (2015).</w:t>
      </w:r>
      <w:r w:rsidRPr="00F25A2E">
        <w:rPr>
          <w:i/>
          <w:color w:val="000000" w:themeColor="text1"/>
          <w:lang w:val="en-GB"/>
        </w:rPr>
        <w:t xml:space="preserve"> </w:t>
      </w:r>
      <w:r w:rsidR="001D02E1" w:rsidRPr="00F25A2E">
        <w:rPr>
          <w:i/>
          <w:color w:val="000000" w:themeColor="text1"/>
        </w:rPr>
        <w:t>Declaration on Promoting citizenship and the common values of freedom, tolerance and non-discrimination through education.</w:t>
      </w:r>
      <w:r w:rsidR="001D02E1" w:rsidRPr="00F25A2E">
        <w:rPr>
          <w:color w:val="000000" w:themeColor="text1"/>
          <w:lang w:val="en-GB"/>
        </w:rPr>
        <w:t xml:space="preserve"> Paris: </w:t>
      </w:r>
      <w:r w:rsidR="001D02E1" w:rsidRPr="00F25A2E">
        <w:rPr>
          <w:iCs/>
          <w:color w:val="000000" w:themeColor="text1"/>
          <w:lang w:val="en-GB"/>
        </w:rPr>
        <w:t xml:space="preserve">European Council of Education. Retrieved May 2020 from </w:t>
      </w:r>
      <w:r w:rsidR="001D02E1" w:rsidRPr="00F25A2E">
        <w:rPr>
          <w:color w:val="000000" w:themeColor="text1"/>
          <w:lang w:val="en-GB"/>
        </w:rPr>
        <w:t xml:space="preserve">https://ec.europa.eu/assets/eac/education/news/2015/documents/citizenship-education-declaration_en.pdf </w:t>
      </w:r>
    </w:p>
    <w:p w14:paraId="0A952DF3" w14:textId="33DEDAE6"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lastRenderedPageBreak/>
        <w:t xml:space="preserve">Felgueroso, F., Gutiérrez-Domènech, M., &amp; Jiménez-Martín, S. (2014). </w:t>
      </w:r>
      <w:r w:rsidRPr="00F25A2E">
        <w:rPr>
          <w:iCs/>
          <w:color w:val="000000" w:themeColor="text1"/>
          <w:lang w:val="en-GB"/>
        </w:rPr>
        <w:t>Dropout trends and educational reforms: The role of the LOGSE in Spain</w:t>
      </w:r>
      <w:r w:rsidRPr="00F25A2E">
        <w:rPr>
          <w:color w:val="000000" w:themeColor="text1"/>
          <w:lang w:val="en-GB"/>
        </w:rPr>
        <w:t xml:space="preserve">. </w:t>
      </w:r>
      <w:r w:rsidRPr="00052826">
        <w:rPr>
          <w:i/>
          <w:color w:val="000000" w:themeColor="text1"/>
          <w:lang w:val="es-ES"/>
        </w:rPr>
        <w:t xml:space="preserve">IZA </w:t>
      </w:r>
      <w:proofErr w:type="spellStart"/>
      <w:r w:rsidRPr="00052826">
        <w:rPr>
          <w:i/>
          <w:color w:val="000000" w:themeColor="text1"/>
          <w:lang w:val="es-ES"/>
        </w:rPr>
        <w:t>Journal</w:t>
      </w:r>
      <w:proofErr w:type="spellEnd"/>
      <w:r w:rsidRPr="00052826">
        <w:rPr>
          <w:i/>
          <w:color w:val="000000" w:themeColor="text1"/>
          <w:lang w:val="es-ES"/>
        </w:rPr>
        <w:t xml:space="preserve"> </w:t>
      </w:r>
      <w:proofErr w:type="spellStart"/>
      <w:r w:rsidRPr="00052826">
        <w:rPr>
          <w:i/>
          <w:color w:val="000000" w:themeColor="text1"/>
          <w:lang w:val="es-ES"/>
        </w:rPr>
        <w:t>of</w:t>
      </w:r>
      <w:proofErr w:type="spellEnd"/>
      <w:r w:rsidRPr="00052826">
        <w:rPr>
          <w:i/>
          <w:color w:val="000000" w:themeColor="text1"/>
          <w:lang w:val="es-ES"/>
        </w:rPr>
        <w:t xml:space="preserve"> Labor </w:t>
      </w:r>
      <w:proofErr w:type="spellStart"/>
      <w:r w:rsidRPr="00052826">
        <w:rPr>
          <w:i/>
          <w:color w:val="000000" w:themeColor="text1"/>
          <w:lang w:val="es-ES"/>
        </w:rPr>
        <w:t>Policy</w:t>
      </w:r>
      <w:proofErr w:type="spellEnd"/>
      <w:r w:rsidRPr="00052826">
        <w:rPr>
          <w:i/>
          <w:color w:val="000000" w:themeColor="text1"/>
          <w:lang w:val="es-ES"/>
        </w:rPr>
        <w:t>,</w:t>
      </w:r>
      <w:r w:rsidRPr="00052826">
        <w:rPr>
          <w:color w:val="000000" w:themeColor="text1"/>
          <w:lang w:val="es-ES"/>
        </w:rPr>
        <w:t xml:space="preserve"> </w:t>
      </w:r>
      <w:r w:rsidRPr="00052826">
        <w:rPr>
          <w:i/>
          <w:color w:val="000000" w:themeColor="text1"/>
          <w:lang w:val="es-ES"/>
        </w:rPr>
        <w:t>3,</w:t>
      </w:r>
      <w:r w:rsidRPr="00052826">
        <w:rPr>
          <w:color w:val="000000" w:themeColor="text1"/>
          <w:lang w:val="es-ES"/>
        </w:rPr>
        <w:t xml:space="preserve"> 1−24. </w:t>
      </w:r>
      <w:r w:rsidR="00F43849" w:rsidRPr="00052826">
        <w:rPr>
          <w:color w:val="000000" w:themeColor="text1"/>
          <w:lang w:val="es-ES"/>
        </w:rPr>
        <w:t>https://doi.org/</w:t>
      </w:r>
      <w:r w:rsidRPr="00052826">
        <w:rPr>
          <w:color w:val="000000" w:themeColor="text1"/>
          <w:lang w:val="es-ES"/>
        </w:rPr>
        <w:t>10.1186/2193-9004-3-9</w:t>
      </w:r>
    </w:p>
    <w:p w14:paraId="18106E4A" w14:textId="77777777"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t xml:space="preserve">Fernández </w:t>
      </w:r>
      <w:proofErr w:type="spellStart"/>
      <w:r w:rsidRPr="00052826">
        <w:rPr>
          <w:color w:val="000000" w:themeColor="text1"/>
          <w:lang w:val="es-ES"/>
        </w:rPr>
        <w:t>Enguita</w:t>
      </w:r>
      <w:proofErr w:type="spellEnd"/>
      <w:r w:rsidRPr="00052826">
        <w:rPr>
          <w:color w:val="000000" w:themeColor="text1"/>
          <w:lang w:val="es-ES"/>
        </w:rPr>
        <w:t xml:space="preserve">, M., Mena Martínez, L., &amp; </w:t>
      </w:r>
      <w:proofErr w:type="spellStart"/>
      <w:r w:rsidRPr="00052826">
        <w:rPr>
          <w:color w:val="000000" w:themeColor="text1"/>
          <w:lang w:val="es-ES"/>
        </w:rPr>
        <w:t>Riviere</w:t>
      </w:r>
      <w:proofErr w:type="spellEnd"/>
      <w:r w:rsidRPr="00052826">
        <w:rPr>
          <w:color w:val="000000" w:themeColor="text1"/>
          <w:lang w:val="es-ES"/>
        </w:rPr>
        <w:t xml:space="preserve"> Gómez, J. (2010). </w:t>
      </w:r>
      <w:r w:rsidRPr="00052826">
        <w:rPr>
          <w:i/>
          <w:iCs/>
          <w:color w:val="000000" w:themeColor="text1"/>
          <w:lang w:val="es-ES"/>
        </w:rPr>
        <w:t>Fracaso y abandono escolar en España</w:t>
      </w:r>
      <w:r w:rsidRPr="00052826">
        <w:rPr>
          <w:color w:val="000000" w:themeColor="text1"/>
          <w:lang w:val="es-ES"/>
        </w:rPr>
        <w:t>. Barcelona: Fundación La Caixa.</w:t>
      </w:r>
    </w:p>
    <w:p w14:paraId="4963CA66" w14:textId="02356337"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t xml:space="preserve">Fernández Macías, E., Muñoz de Bustillo, R., Braña, F. J., &amp; Antón, J. I. (2010). </w:t>
      </w:r>
      <w:r w:rsidRPr="00F25A2E">
        <w:rPr>
          <w:color w:val="000000" w:themeColor="text1"/>
          <w:lang w:val="en-GB"/>
        </w:rPr>
        <w:t xml:space="preserve">Some arithmetic remarks on school failure and early school dropout in Spain. </w:t>
      </w:r>
      <w:r w:rsidRPr="00052826">
        <w:rPr>
          <w:i/>
          <w:color w:val="000000" w:themeColor="text1"/>
          <w:lang w:val="es-ES"/>
        </w:rPr>
        <w:t>Revista de educación, n. extraordinario,</w:t>
      </w:r>
      <w:r w:rsidR="000B4C8E" w:rsidRPr="00052826">
        <w:rPr>
          <w:color w:val="000000" w:themeColor="text1"/>
          <w:lang w:val="es-ES"/>
        </w:rPr>
        <w:t xml:space="preserve"> </w:t>
      </w:r>
      <w:r w:rsidRPr="00052826">
        <w:rPr>
          <w:color w:val="000000" w:themeColor="text1"/>
          <w:lang w:val="es-ES"/>
        </w:rPr>
        <w:t>307-324.</w:t>
      </w:r>
    </w:p>
    <w:p w14:paraId="145889C4" w14:textId="4E3C8B69"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Fernández-Macías, E., Antón, J. I., Braña, F. J., &amp; Muñoz de Bustillo, R. (2013). </w:t>
      </w:r>
      <w:r w:rsidRPr="00F25A2E">
        <w:rPr>
          <w:color w:val="000000" w:themeColor="text1"/>
          <w:lang w:val="en-GB"/>
        </w:rPr>
        <w:t xml:space="preserve">Early school-leaving in Spain: Evolution, intensity and determinants. </w:t>
      </w:r>
      <w:r w:rsidRPr="00F25A2E">
        <w:rPr>
          <w:i/>
          <w:iCs/>
          <w:color w:val="000000" w:themeColor="text1"/>
          <w:lang w:val="en-GB"/>
        </w:rPr>
        <w:t>European Journal of Education</w:t>
      </w:r>
      <w:r w:rsidRPr="00F25A2E">
        <w:rPr>
          <w:color w:val="000000" w:themeColor="text1"/>
          <w:lang w:val="en-GB"/>
        </w:rPr>
        <w:t xml:space="preserve">, </w:t>
      </w:r>
      <w:r w:rsidRPr="00F25A2E">
        <w:rPr>
          <w:i/>
          <w:iCs/>
          <w:color w:val="000000" w:themeColor="text1"/>
          <w:lang w:val="en-GB"/>
        </w:rPr>
        <w:t>48</w:t>
      </w:r>
      <w:r w:rsidR="00067807" w:rsidRPr="00F25A2E">
        <w:rPr>
          <w:iCs/>
          <w:color w:val="000000" w:themeColor="text1"/>
          <w:lang w:val="en-GB"/>
        </w:rPr>
        <w:t>(1)</w:t>
      </w:r>
      <w:r w:rsidRPr="00F25A2E">
        <w:rPr>
          <w:color w:val="000000" w:themeColor="text1"/>
          <w:lang w:val="en-GB"/>
        </w:rPr>
        <w:t xml:space="preserve">, 150–164. </w:t>
      </w:r>
      <w:r w:rsidR="00F43849" w:rsidRPr="00F25A2E">
        <w:rPr>
          <w:color w:val="000000" w:themeColor="text1"/>
          <w:lang w:val="en-GB"/>
        </w:rPr>
        <w:t>https://doi.org/</w:t>
      </w:r>
      <w:r w:rsidRPr="00F25A2E">
        <w:rPr>
          <w:color w:val="000000" w:themeColor="text1"/>
          <w:lang w:val="en-GB"/>
        </w:rPr>
        <w:t>10.1111/ejed.12000</w:t>
      </w:r>
    </w:p>
    <w:p w14:paraId="23A9EE76" w14:textId="56C73D12"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Fernández-Mellizo, M., &amp; Martínez-García, J. S. (2017). </w:t>
      </w:r>
      <w:r w:rsidRPr="00F25A2E">
        <w:rPr>
          <w:color w:val="000000" w:themeColor="text1"/>
          <w:lang w:val="en-GB"/>
        </w:rPr>
        <w:t xml:space="preserve">Inequality of educational opportunities: School failure trends in Spain (1977–2012). </w:t>
      </w:r>
      <w:r w:rsidRPr="00F25A2E">
        <w:rPr>
          <w:i/>
          <w:iCs/>
          <w:color w:val="000000" w:themeColor="text1"/>
          <w:lang w:val="en-GB"/>
        </w:rPr>
        <w:t>International Studies in Sociology of Education</w:t>
      </w:r>
      <w:r w:rsidRPr="00F25A2E">
        <w:rPr>
          <w:color w:val="000000" w:themeColor="text1"/>
          <w:lang w:val="en-GB"/>
        </w:rPr>
        <w:t xml:space="preserve">, </w:t>
      </w:r>
      <w:r w:rsidRPr="00F25A2E">
        <w:rPr>
          <w:i/>
          <w:iCs/>
          <w:color w:val="000000" w:themeColor="text1"/>
          <w:lang w:val="en-GB"/>
        </w:rPr>
        <w:t>26</w:t>
      </w:r>
      <w:r w:rsidR="00067807" w:rsidRPr="00F25A2E">
        <w:rPr>
          <w:iCs/>
          <w:color w:val="000000" w:themeColor="text1"/>
          <w:lang w:val="en-GB"/>
        </w:rPr>
        <w:t>(3)</w:t>
      </w:r>
      <w:r w:rsidRPr="00F25A2E">
        <w:rPr>
          <w:color w:val="000000" w:themeColor="text1"/>
          <w:lang w:val="en-GB"/>
        </w:rPr>
        <w:t xml:space="preserve">, 267–287. </w:t>
      </w:r>
      <w:r w:rsidR="00F43849" w:rsidRPr="00F25A2E">
        <w:rPr>
          <w:color w:val="000000" w:themeColor="text1"/>
          <w:lang w:val="en-GB"/>
        </w:rPr>
        <w:t>https://doi.org/</w:t>
      </w:r>
      <w:r w:rsidRPr="00F25A2E">
        <w:rPr>
          <w:color w:val="000000" w:themeColor="text1"/>
          <w:lang w:val="en-GB"/>
        </w:rPr>
        <w:t>10.1080/09620214.2016.1192954</w:t>
      </w:r>
    </w:p>
    <w:p w14:paraId="45F9B068" w14:textId="53682992" w:rsidR="009B71DE" w:rsidRPr="00F25A2E" w:rsidRDefault="009B71DE" w:rsidP="006D08A5">
      <w:pPr>
        <w:shd w:val="clear" w:color="auto" w:fill="FFFFFF" w:themeFill="background1"/>
        <w:ind w:left="480" w:hanging="480"/>
        <w:rPr>
          <w:color w:val="000000" w:themeColor="text1"/>
          <w:lang w:val="en-GB"/>
        </w:rPr>
      </w:pPr>
      <w:r w:rsidRPr="00F25A2E">
        <w:rPr>
          <w:color w:val="000000" w:themeColor="text1"/>
          <w:lang w:val="en-GB"/>
        </w:rPr>
        <w:t xml:space="preserve">Frostad, P., </w:t>
      </w:r>
      <w:proofErr w:type="spellStart"/>
      <w:r w:rsidRPr="00F25A2E">
        <w:rPr>
          <w:color w:val="000000" w:themeColor="text1"/>
          <w:lang w:val="en-GB"/>
        </w:rPr>
        <w:t>Pijl</w:t>
      </w:r>
      <w:proofErr w:type="spellEnd"/>
      <w:r w:rsidRPr="00F25A2E">
        <w:rPr>
          <w:color w:val="000000" w:themeColor="text1"/>
          <w:lang w:val="en-GB"/>
        </w:rPr>
        <w:t xml:space="preserve">, S. J., &amp; </w:t>
      </w:r>
      <w:proofErr w:type="spellStart"/>
      <w:r w:rsidRPr="00F25A2E">
        <w:rPr>
          <w:color w:val="000000" w:themeColor="text1"/>
          <w:lang w:val="en-GB"/>
        </w:rPr>
        <w:t>Mjaavatn</w:t>
      </w:r>
      <w:proofErr w:type="spellEnd"/>
      <w:r w:rsidRPr="00F25A2E">
        <w:rPr>
          <w:color w:val="000000" w:themeColor="text1"/>
          <w:lang w:val="en-GB"/>
        </w:rPr>
        <w:t xml:space="preserve">, P. E. (2015). Losing all interest in school: social participation as a predictor of the intention to leave upper secondary school early. </w:t>
      </w:r>
      <w:r w:rsidRPr="00F25A2E">
        <w:rPr>
          <w:i/>
          <w:color w:val="000000" w:themeColor="text1"/>
          <w:lang w:val="en-GB"/>
        </w:rPr>
        <w:t>Scandinavian Journal of Educational Research, 59</w:t>
      </w:r>
      <w:r w:rsidRPr="00F25A2E">
        <w:rPr>
          <w:color w:val="000000" w:themeColor="text1"/>
          <w:lang w:val="en-GB"/>
        </w:rPr>
        <w:t>(1), 110</w:t>
      </w:r>
      <w:r w:rsidR="000B4C8E" w:rsidRPr="00F25A2E">
        <w:rPr>
          <w:color w:val="000000" w:themeColor="text1"/>
          <w:lang w:val="en-GB"/>
        </w:rPr>
        <w:t>–</w:t>
      </w:r>
      <w:r w:rsidRPr="00F25A2E">
        <w:rPr>
          <w:color w:val="000000" w:themeColor="text1"/>
          <w:lang w:val="en-GB"/>
        </w:rPr>
        <w:t xml:space="preserve">122. </w:t>
      </w:r>
      <w:r w:rsidR="00F43849" w:rsidRPr="00F25A2E">
        <w:rPr>
          <w:color w:val="000000" w:themeColor="text1"/>
          <w:lang w:val="en-GB"/>
        </w:rPr>
        <w:t>https://doi.org/</w:t>
      </w:r>
      <w:r w:rsidRPr="00F25A2E">
        <w:rPr>
          <w:color w:val="000000" w:themeColor="text1"/>
          <w:lang w:val="en-GB"/>
        </w:rPr>
        <w:t>10.1080/00313831.2014.904420</w:t>
      </w:r>
    </w:p>
    <w:p w14:paraId="492DD891" w14:textId="5E426A59"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García-Pérez, J. I., Hidalgo-Hidalgo, M., &amp; Robles-Zurita, J. A. (2014). Does grade retention affect students’ achievement? Some evidence from Spain. </w:t>
      </w:r>
      <w:r w:rsidRPr="00F25A2E">
        <w:rPr>
          <w:i/>
          <w:iCs/>
          <w:color w:val="000000" w:themeColor="text1"/>
          <w:lang w:val="en-GB"/>
        </w:rPr>
        <w:t>Applied Economics</w:t>
      </w:r>
      <w:r w:rsidRPr="00F25A2E">
        <w:rPr>
          <w:color w:val="000000" w:themeColor="text1"/>
          <w:lang w:val="en-GB"/>
        </w:rPr>
        <w:t xml:space="preserve">, </w:t>
      </w:r>
      <w:r w:rsidRPr="00F25A2E">
        <w:rPr>
          <w:i/>
          <w:iCs/>
          <w:color w:val="000000" w:themeColor="text1"/>
          <w:lang w:val="en-GB"/>
        </w:rPr>
        <w:t>46</w:t>
      </w:r>
      <w:r w:rsidR="00067807" w:rsidRPr="00F25A2E">
        <w:rPr>
          <w:iCs/>
          <w:color w:val="000000" w:themeColor="text1"/>
          <w:lang w:val="en-GB"/>
        </w:rPr>
        <w:t>(12)</w:t>
      </w:r>
      <w:r w:rsidRPr="00F25A2E">
        <w:rPr>
          <w:i/>
          <w:iCs/>
          <w:color w:val="000000" w:themeColor="text1"/>
          <w:lang w:val="en-GB"/>
        </w:rPr>
        <w:t>,</w:t>
      </w:r>
      <w:r w:rsidRPr="00F25A2E">
        <w:rPr>
          <w:iCs/>
          <w:color w:val="000000" w:themeColor="text1"/>
          <w:lang w:val="en-GB"/>
        </w:rPr>
        <w:t xml:space="preserve"> 1373−1392</w:t>
      </w:r>
      <w:r w:rsidRPr="00F25A2E">
        <w:rPr>
          <w:color w:val="000000" w:themeColor="text1"/>
          <w:lang w:val="en-GB"/>
        </w:rPr>
        <w:t xml:space="preserve">. </w:t>
      </w:r>
      <w:r w:rsidR="00F43849" w:rsidRPr="00F25A2E">
        <w:rPr>
          <w:color w:val="000000" w:themeColor="text1"/>
          <w:lang w:val="en-GB"/>
        </w:rPr>
        <w:t>https://doi.org/</w:t>
      </w:r>
      <w:r w:rsidRPr="00F25A2E">
        <w:rPr>
          <w:color w:val="000000" w:themeColor="text1"/>
          <w:lang w:val="en-GB"/>
        </w:rPr>
        <w:t>10.1080/00036846.2013.872761</w:t>
      </w:r>
    </w:p>
    <w:p w14:paraId="7EDA1940" w14:textId="023BBE63"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t xml:space="preserve">Gil Flores, J. (2014). Factors related to regional gap in Spanish achievement in PISA assessment. </w:t>
      </w:r>
      <w:r w:rsidRPr="00052826">
        <w:rPr>
          <w:i/>
          <w:iCs/>
          <w:color w:val="000000" w:themeColor="text1"/>
          <w:lang w:val="es-ES"/>
        </w:rPr>
        <w:t>Revista de Investigación Educativa</w:t>
      </w:r>
      <w:r w:rsidRPr="00052826">
        <w:rPr>
          <w:color w:val="000000" w:themeColor="text1"/>
          <w:lang w:val="es-ES"/>
        </w:rPr>
        <w:t xml:space="preserve">, </w:t>
      </w:r>
      <w:r w:rsidRPr="00052826">
        <w:rPr>
          <w:i/>
          <w:iCs/>
          <w:color w:val="000000" w:themeColor="text1"/>
          <w:lang w:val="es-ES"/>
        </w:rPr>
        <w:t>32</w:t>
      </w:r>
      <w:r w:rsidR="00067807" w:rsidRPr="00052826">
        <w:rPr>
          <w:color w:val="000000" w:themeColor="text1"/>
          <w:lang w:val="es-ES"/>
        </w:rPr>
        <w:t>(2)</w:t>
      </w:r>
      <w:r w:rsidRPr="00052826">
        <w:rPr>
          <w:color w:val="000000" w:themeColor="text1"/>
          <w:lang w:val="es-ES"/>
        </w:rPr>
        <w:t xml:space="preserve">, 393–410. </w:t>
      </w:r>
      <w:r w:rsidR="00F43849" w:rsidRPr="00052826">
        <w:rPr>
          <w:color w:val="000000" w:themeColor="text1"/>
          <w:lang w:val="es-ES"/>
        </w:rPr>
        <w:t>https://doi.org/</w:t>
      </w:r>
      <w:r w:rsidRPr="00052826">
        <w:rPr>
          <w:color w:val="000000" w:themeColor="text1"/>
          <w:lang w:val="es-ES"/>
        </w:rPr>
        <w:t>10.6018/rie.32.2.192441</w:t>
      </w:r>
    </w:p>
    <w:p w14:paraId="10079FA5" w14:textId="10F6B616" w:rsidR="00310E38" w:rsidRPr="00F25A2E" w:rsidRDefault="00310E38" w:rsidP="006D08A5">
      <w:pPr>
        <w:shd w:val="clear" w:color="auto" w:fill="FFFFFF" w:themeFill="background1"/>
        <w:ind w:left="480" w:hanging="480"/>
        <w:rPr>
          <w:color w:val="000000" w:themeColor="text1"/>
          <w:lang w:val="en-GB"/>
        </w:rPr>
      </w:pPr>
      <w:proofErr w:type="spellStart"/>
      <w:r w:rsidRPr="00052826">
        <w:rPr>
          <w:color w:val="000000" w:themeColor="text1"/>
          <w:lang w:val="es-ES"/>
        </w:rPr>
        <w:t>Gitschthaler</w:t>
      </w:r>
      <w:proofErr w:type="spellEnd"/>
      <w:r w:rsidRPr="00052826">
        <w:rPr>
          <w:color w:val="000000" w:themeColor="text1"/>
          <w:lang w:val="es-ES"/>
        </w:rPr>
        <w:t xml:space="preserve">, M., &amp; </w:t>
      </w:r>
      <w:proofErr w:type="spellStart"/>
      <w:r w:rsidRPr="00052826">
        <w:rPr>
          <w:color w:val="000000" w:themeColor="text1"/>
          <w:lang w:val="es-ES"/>
        </w:rPr>
        <w:t>Nairz</w:t>
      </w:r>
      <w:proofErr w:type="spellEnd"/>
      <w:r w:rsidRPr="00052826">
        <w:rPr>
          <w:color w:val="000000" w:themeColor="text1"/>
          <w:lang w:val="es-ES"/>
        </w:rPr>
        <w:t xml:space="preserve">-Wirth, E. (2018). </w:t>
      </w:r>
      <w:r w:rsidRPr="00F25A2E">
        <w:rPr>
          <w:color w:val="000000" w:themeColor="text1"/>
          <w:lang w:val="en-GB"/>
        </w:rPr>
        <w:t xml:space="preserve">The individual and economic costs of early school leaving. In L. Van Praag, W. Nouwen, R. Van Caudenberg, N. </w:t>
      </w:r>
      <w:proofErr w:type="spellStart"/>
      <w:r w:rsidRPr="00F25A2E">
        <w:rPr>
          <w:color w:val="000000" w:themeColor="text1"/>
          <w:lang w:val="en-GB"/>
        </w:rPr>
        <w:t>Clycq</w:t>
      </w:r>
      <w:proofErr w:type="spellEnd"/>
      <w:r w:rsidRPr="00F25A2E">
        <w:rPr>
          <w:color w:val="000000" w:themeColor="text1"/>
          <w:lang w:val="en-GB"/>
        </w:rPr>
        <w:t xml:space="preserve">, &amp; C. Timmerman (Eds.), </w:t>
      </w:r>
      <w:r w:rsidRPr="00F25A2E">
        <w:rPr>
          <w:i/>
          <w:iCs/>
          <w:color w:val="000000" w:themeColor="text1"/>
          <w:lang w:val="en-GB"/>
        </w:rPr>
        <w:t>Comparative perspectives on early school leaving in the European Union</w:t>
      </w:r>
      <w:r w:rsidRPr="00F25A2E">
        <w:rPr>
          <w:color w:val="000000" w:themeColor="text1"/>
          <w:lang w:val="en-GB"/>
        </w:rPr>
        <w:t xml:space="preserve"> (pp. 61–74). London: Routledge. </w:t>
      </w:r>
      <w:r w:rsidR="00F43849" w:rsidRPr="00F25A2E">
        <w:rPr>
          <w:color w:val="000000" w:themeColor="text1"/>
          <w:lang w:val="en-GB"/>
        </w:rPr>
        <w:t>https://doi.org/</w:t>
      </w:r>
      <w:r w:rsidRPr="00F25A2E">
        <w:rPr>
          <w:color w:val="000000" w:themeColor="text1"/>
          <w:lang w:val="en-GB"/>
        </w:rPr>
        <w:t>10.4324/9781315170404-5</w:t>
      </w:r>
    </w:p>
    <w:p w14:paraId="0F8425EE" w14:textId="10E98A1D"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González-Betancor, S.M., &amp; López-Puig, A.J. (2020). Student achievement in primary education: region matters more than school. </w:t>
      </w:r>
      <w:r w:rsidRPr="00F25A2E">
        <w:rPr>
          <w:i/>
          <w:color w:val="000000" w:themeColor="text1"/>
          <w:lang w:val="en-GB"/>
        </w:rPr>
        <w:t xml:space="preserve">Compare: A Journal of Comparative and International Education. </w:t>
      </w:r>
      <w:r w:rsidR="00F43849" w:rsidRPr="00F25A2E">
        <w:rPr>
          <w:color w:val="000000" w:themeColor="text1"/>
          <w:lang w:val="en-GB"/>
        </w:rPr>
        <w:t>https://doi.org/</w:t>
      </w:r>
      <w:r w:rsidRPr="00F25A2E">
        <w:rPr>
          <w:color w:val="000000" w:themeColor="text1"/>
          <w:lang w:val="en-GB"/>
        </w:rPr>
        <w:t>10.1080/03057925.2020.1716304</w:t>
      </w:r>
    </w:p>
    <w:p w14:paraId="75C924E0" w14:textId="1FA50202" w:rsidR="009F6459" w:rsidRPr="00F25A2E" w:rsidRDefault="009F6459" w:rsidP="006D08A5">
      <w:pPr>
        <w:shd w:val="clear" w:color="auto" w:fill="FFFFFF" w:themeFill="background1"/>
        <w:ind w:left="480" w:hanging="480"/>
        <w:rPr>
          <w:color w:val="000000" w:themeColor="text1"/>
          <w:lang w:val="en-GB"/>
        </w:rPr>
      </w:pPr>
      <w:r w:rsidRPr="00052826">
        <w:rPr>
          <w:color w:val="000000" w:themeColor="text1"/>
          <w:lang w:val="es-ES"/>
        </w:rPr>
        <w:t xml:space="preserve">González-Rodríguez, D., Vieira, M. J., &amp; Vidal, J. (2019). </w:t>
      </w:r>
      <w:r w:rsidRPr="00F25A2E">
        <w:rPr>
          <w:color w:val="000000" w:themeColor="text1"/>
          <w:lang w:val="en-GB"/>
        </w:rPr>
        <w:t xml:space="preserve">Factors that influence early school leaving: a comprehensive model. </w:t>
      </w:r>
      <w:r w:rsidRPr="00F25A2E">
        <w:rPr>
          <w:i/>
          <w:color w:val="000000" w:themeColor="text1"/>
          <w:lang w:val="en-GB"/>
        </w:rPr>
        <w:t>Educational Research, 61</w:t>
      </w:r>
      <w:r w:rsidRPr="00F25A2E">
        <w:rPr>
          <w:color w:val="000000" w:themeColor="text1"/>
          <w:lang w:val="en-GB"/>
        </w:rPr>
        <w:t xml:space="preserve">(2), 214-230. </w:t>
      </w:r>
      <w:r w:rsidR="00F43849" w:rsidRPr="00F25A2E">
        <w:rPr>
          <w:color w:val="000000" w:themeColor="text1"/>
          <w:lang w:val="en-GB"/>
        </w:rPr>
        <w:t>https://doi.org/</w:t>
      </w:r>
      <w:r w:rsidRPr="00F25A2E">
        <w:rPr>
          <w:color w:val="000000" w:themeColor="text1"/>
          <w:lang w:val="en-GB"/>
        </w:rPr>
        <w:t>10.1080/00131881.2019.1596034</w:t>
      </w:r>
    </w:p>
    <w:p w14:paraId="5BAFDCA6" w14:textId="78135438"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Henry, K. L., Knight, K. E., &amp; Thornberry, T. P. (2012). School disengagement as a predictor of dropout, delinquency, and problem substance use during adolescence and early adulthood. </w:t>
      </w:r>
      <w:r w:rsidRPr="00F25A2E">
        <w:rPr>
          <w:i/>
          <w:color w:val="000000" w:themeColor="text1"/>
          <w:lang w:val="en-GB"/>
        </w:rPr>
        <w:t>Journal of Youth and Adolescence, 41</w:t>
      </w:r>
      <w:r w:rsidR="00067807" w:rsidRPr="00F25A2E">
        <w:rPr>
          <w:color w:val="000000" w:themeColor="text1"/>
          <w:lang w:val="en-GB"/>
        </w:rPr>
        <w:t>(2)</w:t>
      </w:r>
      <w:r w:rsidRPr="00F25A2E">
        <w:rPr>
          <w:i/>
          <w:color w:val="000000" w:themeColor="text1"/>
          <w:lang w:val="en-GB"/>
        </w:rPr>
        <w:t>,</w:t>
      </w:r>
      <w:r w:rsidRPr="00F25A2E">
        <w:rPr>
          <w:color w:val="000000" w:themeColor="text1"/>
          <w:lang w:val="en-GB"/>
        </w:rPr>
        <w:t xml:space="preserve"> 156−166. </w:t>
      </w:r>
      <w:r w:rsidR="00F43849" w:rsidRPr="00F25A2E">
        <w:rPr>
          <w:color w:val="000000" w:themeColor="text1"/>
          <w:lang w:val="en-GB"/>
        </w:rPr>
        <w:t>https://doi.org/</w:t>
      </w:r>
      <w:r w:rsidRPr="00F25A2E">
        <w:rPr>
          <w:color w:val="000000" w:themeColor="text1"/>
          <w:lang w:val="en-GB"/>
        </w:rPr>
        <w:t>10.1007/s10964-011-9665-3</w:t>
      </w:r>
    </w:p>
    <w:p w14:paraId="04B0A732" w14:textId="40201A3D"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Janosz, M., Archambault, I., </w:t>
      </w:r>
      <w:proofErr w:type="spellStart"/>
      <w:r w:rsidRPr="00F25A2E">
        <w:rPr>
          <w:color w:val="000000" w:themeColor="text1"/>
          <w:lang w:val="en-GB"/>
        </w:rPr>
        <w:t>Morizot</w:t>
      </w:r>
      <w:proofErr w:type="spellEnd"/>
      <w:r w:rsidRPr="00F25A2E">
        <w:rPr>
          <w:color w:val="000000" w:themeColor="text1"/>
          <w:lang w:val="en-GB"/>
        </w:rPr>
        <w:t xml:space="preserve">, J., &amp; Pagani, L. S. (2008). School engagement trajectories and their differential predictive relations to dropout. </w:t>
      </w:r>
      <w:r w:rsidRPr="00F25A2E">
        <w:rPr>
          <w:i/>
          <w:iCs/>
          <w:color w:val="000000" w:themeColor="text1"/>
          <w:lang w:val="en-GB"/>
        </w:rPr>
        <w:t>Journal of Social Issues</w:t>
      </w:r>
      <w:r w:rsidRPr="00F25A2E">
        <w:rPr>
          <w:color w:val="000000" w:themeColor="text1"/>
          <w:lang w:val="en-GB"/>
        </w:rPr>
        <w:t xml:space="preserve">, </w:t>
      </w:r>
      <w:r w:rsidRPr="00F25A2E">
        <w:rPr>
          <w:i/>
          <w:iCs/>
          <w:color w:val="000000" w:themeColor="text1"/>
          <w:lang w:val="en-GB"/>
        </w:rPr>
        <w:t>64</w:t>
      </w:r>
      <w:r w:rsidR="00067807" w:rsidRPr="00F25A2E">
        <w:rPr>
          <w:iCs/>
          <w:color w:val="000000" w:themeColor="text1"/>
          <w:lang w:val="en-GB"/>
        </w:rPr>
        <w:t>(1)</w:t>
      </w:r>
      <w:r w:rsidRPr="00F25A2E">
        <w:rPr>
          <w:color w:val="000000" w:themeColor="text1"/>
          <w:lang w:val="en-GB"/>
        </w:rPr>
        <w:t xml:space="preserve">, 21–40. </w:t>
      </w:r>
      <w:r w:rsidR="00F43849" w:rsidRPr="00F25A2E">
        <w:rPr>
          <w:color w:val="000000" w:themeColor="text1"/>
          <w:lang w:val="en-GB"/>
        </w:rPr>
        <w:t>https://doi.org/</w:t>
      </w:r>
      <w:r w:rsidRPr="00F25A2E">
        <w:rPr>
          <w:color w:val="000000" w:themeColor="text1"/>
          <w:lang w:val="en-GB"/>
        </w:rPr>
        <w:t>10.1111/j.1540-4560.2008.00546.x</w:t>
      </w:r>
    </w:p>
    <w:p w14:paraId="5928C480" w14:textId="36569C7F" w:rsidR="003E431D" w:rsidRPr="00052826" w:rsidRDefault="003E431D" w:rsidP="006D08A5">
      <w:pPr>
        <w:shd w:val="clear" w:color="auto" w:fill="FFFFFF" w:themeFill="background1"/>
        <w:ind w:left="480" w:hanging="480"/>
        <w:rPr>
          <w:color w:val="000000" w:themeColor="text1"/>
          <w:lang w:val="es-ES"/>
        </w:rPr>
      </w:pPr>
      <w:r w:rsidRPr="00F25A2E">
        <w:rPr>
          <w:color w:val="000000" w:themeColor="text1"/>
          <w:lang w:val="en-GB"/>
        </w:rPr>
        <w:t xml:space="preserve">Martín </w:t>
      </w:r>
      <w:proofErr w:type="spellStart"/>
      <w:r w:rsidRPr="00F25A2E">
        <w:rPr>
          <w:color w:val="000000" w:themeColor="text1"/>
          <w:lang w:val="en-GB"/>
        </w:rPr>
        <w:t>Quintana</w:t>
      </w:r>
      <w:proofErr w:type="spellEnd"/>
      <w:r w:rsidRPr="00F25A2E">
        <w:rPr>
          <w:color w:val="000000" w:themeColor="text1"/>
          <w:lang w:val="en-GB"/>
        </w:rPr>
        <w:t xml:space="preserve">, J. C., Alemán, J., </w:t>
      </w:r>
      <w:proofErr w:type="spellStart"/>
      <w:r w:rsidRPr="00F25A2E">
        <w:rPr>
          <w:color w:val="000000" w:themeColor="text1"/>
          <w:lang w:val="en-GB"/>
        </w:rPr>
        <w:t>Marcehan</w:t>
      </w:r>
      <w:proofErr w:type="spellEnd"/>
      <w:r w:rsidRPr="00F25A2E">
        <w:rPr>
          <w:color w:val="000000" w:themeColor="text1"/>
          <w:lang w:val="en-GB"/>
        </w:rPr>
        <w:t xml:space="preserve">, R., &amp; Santana, R. (2015). Family background of students at risk of early school leaving by family typology. </w:t>
      </w:r>
      <w:r w:rsidRPr="00052826">
        <w:rPr>
          <w:i/>
          <w:color w:val="000000" w:themeColor="text1"/>
          <w:lang w:val="es-ES"/>
        </w:rPr>
        <w:t>Profesorado. Revista de Currículum y Formación del Profesorado, 19</w:t>
      </w:r>
      <w:r w:rsidRPr="00052826">
        <w:rPr>
          <w:color w:val="000000" w:themeColor="text1"/>
          <w:lang w:val="es-ES"/>
        </w:rPr>
        <w:t>(3), 246-263.</w:t>
      </w:r>
    </w:p>
    <w:p w14:paraId="080AE94E" w14:textId="53DEC66E"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lastRenderedPageBreak/>
        <w:t xml:space="preserve">Martínez García, J. S. (2011). Género y origen social: Diferencias grandes en fracaso escolar administrativo y bajas en rendimiento educativo. </w:t>
      </w:r>
      <w:r w:rsidR="005909E6" w:rsidRPr="00052826">
        <w:rPr>
          <w:i/>
          <w:iCs/>
          <w:color w:val="000000" w:themeColor="text1"/>
          <w:lang w:val="es-ES"/>
        </w:rPr>
        <w:t xml:space="preserve">Revista </w:t>
      </w:r>
      <w:r w:rsidRPr="00052826">
        <w:rPr>
          <w:i/>
          <w:iCs/>
          <w:color w:val="000000" w:themeColor="text1"/>
          <w:lang w:val="es-ES"/>
        </w:rPr>
        <w:t>de Sociología de La Educación</w:t>
      </w:r>
      <w:r w:rsidRPr="00052826">
        <w:rPr>
          <w:color w:val="000000" w:themeColor="text1"/>
          <w:lang w:val="es-ES"/>
        </w:rPr>
        <w:t xml:space="preserve">, </w:t>
      </w:r>
      <w:r w:rsidRPr="00052826">
        <w:rPr>
          <w:i/>
          <w:iCs/>
          <w:color w:val="000000" w:themeColor="text1"/>
          <w:lang w:val="es-ES"/>
        </w:rPr>
        <w:t>4</w:t>
      </w:r>
      <w:r w:rsidR="005909E6" w:rsidRPr="00052826">
        <w:rPr>
          <w:iCs/>
          <w:color w:val="000000" w:themeColor="text1"/>
          <w:lang w:val="es-ES"/>
        </w:rPr>
        <w:t>(3)</w:t>
      </w:r>
      <w:r w:rsidRPr="00052826">
        <w:rPr>
          <w:color w:val="000000" w:themeColor="text1"/>
          <w:lang w:val="es-ES"/>
        </w:rPr>
        <w:t>, 270–285.</w:t>
      </w:r>
    </w:p>
    <w:p w14:paraId="4619EF3C" w14:textId="48310333" w:rsidR="00604887" w:rsidRPr="00052826" w:rsidRDefault="00604887" w:rsidP="006D08A5">
      <w:pPr>
        <w:shd w:val="clear" w:color="auto" w:fill="FFFFFF" w:themeFill="background1"/>
        <w:ind w:left="480" w:hanging="480"/>
        <w:rPr>
          <w:color w:val="000000" w:themeColor="text1"/>
          <w:lang w:val="es-ES"/>
        </w:rPr>
      </w:pPr>
      <w:r w:rsidRPr="00052826">
        <w:rPr>
          <w:color w:val="000000" w:themeColor="text1"/>
          <w:lang w:val="es-ES"/>
        </w:rPr>
        <w:t>Martínez García, J. S. (2017). La equidad y la educación. Madrid: Catarata.</w:t>
      </w:r>
    </w:p>
    <w:p w14:paraId="08CBF13D" w14:textId="12346D1A" w:rsidR="006635E3" w:rsidRPr="00052826" w:rsidRDefault="006635E3" w:rsidP="006D08A5">
      <w:pPr>
        <w:shd w:val="clear" w:color="auto" w:fill="FFFFFF" w:themeFill="background1"/>
        <w:ind w:left="480" w:hanging="480"/>
        <w:rPr>
          <w:color w:val="000000" w:themeColor="text1"/>
          <w:lang w:val="es-ES"/>
        </w:rPr>
      </w:pPr>
      <w:r w:rsidRPr="00052826">
        <w:rPr>
          <w:color w:val="000000" w:themeColor="text1"/>
          <w:lang w:val="es-ES"/>
        </w:rPr>
        <w:t>Ministerio de Educación y Formación Profesional</w:t>
      </w:r>
      <w:r w:rsidR="00052826" w:rsidRPr="00052826">
        <w:rPr>
          <w:color w:val="000000" w:themeColor="text1"/>
          <w:lang w:val="es-ES"/>
        </w:rPr>
        <w:t>. (</w:t>
      </w:r>
      <w:r w:rsidR="00E22051">
        <w:rPr>
          <w:color w:val="000000" w:themeColor="text1"/>
          <w:lang w:val="es-ES"/>
        </w:rPr>
        <w:t>2019</w:t>
      </w:r>
      <w:r w:rsidR="00052826" w:rsidRPr="00052826">
        <w:rPr>
          <w:color w:val="000000" w:themeColor="text1"/>
          <w:lang w:val="es-ES"/>
        </w:rPr>
        <w:t>)</w:t>
      </w:r>
      <w:r w:rsidRPr="00052826">
        <w:rPr>
          <w:color w:val="000000" w:themeColor="text1"/>
          <w:lang w:val="es-ES"/>
        </w:rPr>
        <w:t xml:space="preserve">. </w:t>
      </w:r>
      <w:r w:rsidR="000B1022" w:rsidRPr="00052826">
        <w:rPr>
          <w:i/>
          <w:color w:val="000000" w:themeColor="text1"/>
          <w:lang w:val="es-ES"/>
        </w:rPr>
        <w:t>Las cifras de la educación en España.</w:t>
      </w:r>
      <w:r w:rsidR="00052826" w:rsidRPr="00052826">
        <w:rPr>
          <w:i/>
          <w:color w:val="000000" w:themeColor="text1"/>
          <w:lang w:val="es-ES"/>
        </w:rPr>
        <w:t xml:space="preserve"> </w:t>
      </w:r>
      <w:r w:rsidR="00052826" w:rsidRPr="00052826">
        <w:rPr>
          <w:color w:val="000000" w:themeColor="text1"/>
          <w:lang w:val="es-ES"/>
        </w:rPr>
        <w:t>[</w:t>
      </w:r>
      <w:proofErr w:type="spellStart"/>
      <w:r w:rsidR="00052826" w:rsidRPr="00052826">
        <w:rPr>
          <w:color w:val="000000" w:themeColor="text1"/>
          <w:lang w:val="es-ES"/>
        </w:rPr>
        <w:t>Dataset</w:t>
      </w:r>
      <w:proofErr w:type="spellEnd"/>
      <w:r w:rsidR="00052826">
        <w:rPr>
          <w:color w:val="000000" w:themeColor="text1"/>
          <w:lang w:val="es-ES"/>
        </w:rPr>
        <w:t>].</w:t>
      </w:r>
    </w:p>
    <w:p w14:paraId="4A18C529" w14:textId="4F607716"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OECD (2010). </w:t>
      </w:r>
      <w:r w:rsidRPr="00F25A2E">
        <w:rPr>
          <w:i/>
          <w:iCs/>
          <w:color w:val="000000" w:themeColor="text1"/>
          <w:lang w:val="en-GB"/>
        </w:rPr>
        <w:t>The high cost of low educational performance: The long-run economic impact of improving PISA outcomes</w:t>
      </w:r>
      <w:r w:rsidRPr="00F25A2E">
        <w:rPr>
          <w:color w:val="000000" w:themeColor="text1"/>
          <w:lang w:val="en-GB"/>
        </w:rPr>
        <w:t>. Paris: OECD Publishing.</w:t>
      </w:r>
    </w:p>
    <w:p w14:paraId="36A699F3" w14:textId="42C55AC3" w:rsidR="00310E38" w:rsidRPr="00F25A2E" w:rsidRDefault="00310E38" w:rsidP="001D02E1">
      <w:pPr>
        <w:shd w:val="clear" w:color="auto" w:fill="FFFFFF" w:themeFill="background1"/>
        <w:ind w:left="480" w:hanging="480"/>
        <w:rPr>
          <w:color w:val="000000" w:themeColor="text1"/>
          <w:lang w:val="en-GB"/>
        </w:rPr>
      </w:pPr>
      <w:r w:rsidRPr="00F25A2E">
        <w:rPr>
          <w:color w:val="000000" w:themeColor="text1"/>
          <w:lang w:val="en-GB"/>
        </w:rPr>
        <w:t xml:space="preserve">OECD (2014). </w:t>
      </w:r>
      <w:r w:rsidRPr="00F25A2E">
        <w:rPr>
          <w:i/>
          <w:iCs/>
          <w:color w:val="000000" w:themeColor="text1"/>
          <w:lang w:val="en-GB"/>
        </w:rPr>
        <w:t>PISA 2012 results: What makes schools successful? Resources, policies and practices. Volume IV.</w:t>
      </w:r>
      <w:r w:rsidRPr="00F25A2E">
        <w:rPr>
          <w:color w:val="000000" w:themeColor="text1"/>
          <w:lang w:val="en-GB"/>
        </w:rPr>
        <w:t xml:space="preserve"> Paris: OECD Publishing. </w:t>
      </w:r>
      <w:r w:rsidR="00F43849" w:rsidRPr="00F25A2E">
        <w:rPr>
          <w:color w:val="000000" w:themeColor="text1"/>
          <w:lang w:val="en-GB"/>
        </w:rPr>
        <w:t>https://doi.org/</w:t>
      </w:r>
      <w:r w:rsidRPr="00F25A2E">
        <w:rPr>
          <w:color w:val="000000" w:themeColor="text1"/>
          <w:lang w:val="en-GB"/>
        </w:rPr>
        <w:t>10.1787/9789264201156-en</w:t>
      </w:r>
    </w:p>
    <w:p w14:paraId="306CD406" w14:textId="77777777" w:rsidR="00310E38" w:rsidRPr="00052826" w:rsidRDefault="00310E38" w:rsidP="006D08A5">
      <w:pPr>
        <w:shd w:val="clear" w:color="auto" w:fill="FFFFFF" w:themeFill="background1"/>
        <w:ind w:left="480" w:hanging="480"/>
        <w:rPr>
          <w:color w:val="000000" w:themeColor="text1"/>
          <w:lang w:val="es-ES"/>
        </w:rPr>
      </w:pPr>
      <w:r w:rsidRPr="00F25A2E">
        <w:rPr>
          <w:color w:val="000000" w:themeColor="text1"/>
          <w:lang w:val="en-GB"/>
        </w:rPr>
        <w:t xml:space="preserve">Prats, J., </w:t>
      </w:r>
      <w:proofErr w:type="spellStart"/>
      <w:r w:rsidRPr="00F25A2E">
        <w:rPr>
          <w:color w:val="000000" w:themeColor="text1"/>
          <w:lang w:val="en-GB"/>
        </w:rPr>
        <w:t>Raventós</w:t>
      </w:r>
      <w:proofErr w:type="spellEnd"/>
      <w:r w:rsidRPr="00F25A2E">
        <w:rPr>
          <w:color w:val="000000" w:themeColor="text1"/>
          <w:lang w:val="en-GB"/>
        </w:rPr>
        <w:t xml:space="preserve">, F., </w:t>
      </w:r>
      <w:proofErr w:type="spellStart"/>
      <w:r w:rsidRPr="00F25A2E">
        <w:rPr>
          <w:color w:val="000000" w:themeColor="text1"/>
          <w:lang w:val="en-GB"/>
        </w:rPr>
        <w:t>Gasòliba</w:t>
      </w:r>
      <w:proofErr w:type="spellEnd"/>
      <w:r w:rsidRPr="00F25A2E">
        <w:rPr>
          <w:color w:val="000000" w:themeColor="text1"/>
          <w:lang w:val="en-GB"/>
        </w:rPr>
        <w:t xml:space="preserve">, E., Cowen, R., Creemers, B. P. M., Gauthier, P. L., Maes, B., Schulte, B., &amp; Standaert, R. (2005). </w:t>
      </w:r>
      <w:r w:rsidRPr="00052826">
        <w:rPr>
          <w:i/>
          <w:iCs/>
          <w:color w:val="000000" w:themeColor="text1"/>
          <w:lang w:val="es-ES"/>
        </w:rPr>
        <w:t>Los sistemas educativos europeos. ¿Crisis o transformación?</w:t>
      </w:r>
      <w:r w:rsidRPr="00052826">
        <w:rPr>
          <w:color w:val="000000" w:themeColor="text1"/>
          <w:lang w:val="es-ES"/>
        </w:rPr>
        <w:t xml:space="preserve"> Barcelona: Fundación La Caixa.</w:t>
      </w:r>
    </w:p>
    <w:p w14:paraId="5A0EAE5D" w14:textId="410332F1"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Reay, D. (2004). ‘It’s all becoming a habitus’: Beyond the habitual use of habitus in educational research. </w:t>
      </w:r>
      <w:r w:rsidRPr="00F25A2E">
        <w:rPr>
          <w:i/>
          <w:iCs/>
          <w:color w:val="000000" w:themeColor="text1"/>
          <w:lang w:val="en-GB"/>
        </w:rPr>
        <w:t>British Journal of Sociology of Education</w:t>
      </w:r>
      <w:r w:rsidRPr="00F25A2E">
        <w:rPr>
          <w:color w:val="000000" w:themeColor="text1"/>
          <w:lang w:val="en-GB"/>
        </w:rPr>
        <w:t xml:space="preserve">, </w:t>
      </w:r>
      <w:r w:rsidRPr="00F25A2E">
        <w:rPr>
          <w:i/>
          <w:iCs/>
          <w:color w:val="000000" w:themeColor="text1"/>
          <w:lang w:val="en-GB"/>
        </w:rPr>
        <w:t>25</w:t>
      </w:r>
      <w:r w:rsidR="005909E6" w:rsidRPr="00F25A2E">
        <w:rPr>
          <w:iCs/>
          <w:color w:val="000000" w:themeColor="text1"/>
          <w:lang w:val="en-GB"/>
        </w:rPr>
        <w:t>(4)</w:t>
      </w:r>
      <w:r w:rsidRPr="00F25A2E">
        <w:rPr>
          <w:color w:val="000000" w:themeColor="text1"/>
          <w:lang w:val="en-GB"/>
        </w:rPr>
        <w:t xml:space="preserve">, 431–444. </w:t>
      </w:r>
      <w:r w:rsidR="00F43849" w:rsidRPr="00F25A2E">
        <w:rPr>
          <w:color w:val="000000" w:themeColor="text1"/>
          <w:lang w:val="en-GB"/>
        </w:rPr>
        <w:t>https://doi.org/</w:t>
      </w:r>
      <w:r w:rsidRPr="00F25A2E">
        <w:rPr>
          <w:color w:val="000000" w:themeColor="text1"/>
          <w:lang w:val="en-GB"/>
        </w:rPr>
        <w:t>10.1080/0142569042000236934</w:t>
      </w:r>
    </w:p>
    <w:p w14:paraId="00440ADE" w14:textId="77777777"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Reay, D. (2018). Working-class educational failure: Theoretical perspectives, discursive concerns, and methodological approaches. In A. </w:t>
      </w:r>
      <w:proofErr w:type="spellStart"/>
      <w:r w:rsidRPr="00F25A2E">
        <w:rPr>
          <w:color w:val="000000" w:themeColor="text1"/>
          <w:lang w:val="en-GB"/>
        </w:rPr>
        <w:t>Tarabini</w:t>
      </w:r>
      <w:proofErr w:type="spellEnd"/>
      <w:r w:rsidRPr="00F25A2E">
        <w:rPr>
          <w:color w:val="000000" w:themeColor="text1"/>
          <w:lang w:val="en-GB"/>
        </w:rPr>
        <w:t xml:space="preserve"> &amp; N. Ingram (Eds.), </w:t>
      </w:r>
      <w:r w:rsidRPr="00F25A2E">
        <w:rPr>
          <w:i/>
          <w:color w:val="000000" w:themeColor="text1"/>
          <w:lang w:val="en-GB"/>
        </w:rPr>
        <w:t>Educational choices, transitions and aspirations in Europe: Systemic, institutional and subjective challenges</w:t>
      </w:r>
      <w:r w:rsidRPr="00F25A2E">
        <w:rPr>
          <w:color w:val="000000" w:themeColor="text1"/>
          <w:lang w:val="en-GB"/>
        </w:rPr>
        <w:t xml:space="preserve"> (pp. 15</w:t>
      </w:r>
      <w:r w:rsidRPr="00F25A2E">
        <w:rPr>
          <w:iCs/>
          <w:color w:val="000000" w:themeColor="text1"/>
          <w:lang w:val="en-GB"/>
        </w:rPr>
        <w:t>−</w:t>
      </w:r>
      <w:r w:rsidRPr="00F25A2E">
        <w:rPr>
          <w:color w:val="000000" w:themeColor="text1"/>
          <w:lang w:val="en-GB"/>
        </w:rPr>
        <w:t>31). New York: Routledge.</w:t>
      </w:r>
    </w:p>
    <w:p w14:paraId="4D619B66" w14:textId="60B2C738" w:rsidR="00310E38" w:rsidRPr="00052826" w:rsidRDefault="00310E38" w:rsidP="001D02E1">
      <w:pPr>
        <w:shd w:val="clear" w:color="auto" w:fill="FFFFFF" w:themeFill="background1"/>
        <w:ind w:left="480" w:hanging="480"/>
        <w:jc w:val="both"/>
        <w:rPr>
          <w:color w:val="000000" w:themeColor="text1"/>
          <w:lang w:val="es-ES"/>
        </w:rPr>
      </w:pPr>
      <w:r w:rsidRPr="00F25A2E">
        <w:rPr>
          <w:color w:val="000000" w:themeColor="text1"/>
          <w:lang w:val="en-GB"/>
        </w:rPr>
        <w:t xml:space="preserve">Rodríguez, J. C., &amp; Lacasa, J. M. (2017). Business cycles, opportunity costs and decision to study: Some hypotheses and </w:t>
      </w:r>
      <w:proofErr w:type="gramStart"/>
      <w:r w:rsidRPr="00F25A2E">
        <w:rPr>
          <w:color w:val="000000" w:themeColor="text1"/>
          <w:lang w:val="en-GB"/>
        </w:rPr>
        <w:t>an illustrative comparative evidence</w:t>
      </w:r>
      <w:proofErr w:type="gramEnd"/>
      <w:r w:rsidRPr="00F25A2E">
        <w:rPr>
          <w:color w:val="000000" w:themeColor="text1"/>
          <w:lang w:val="en-GB"/>
        </w:rPr>
        <w:t xml:space="preserve">. </w:t>
      </w:r>
      <w:r w:rsidRPr="00052826">
        <w:rPr>
          <w:i/>
          <w:iCs/>
          <w:color w:val="000000" w:themeColor="text1"/>
          <w:lang w:val="es-ES"/>
        </w:rPr>
        <w:t>Revista Española de Sociología</w:t>
      </w:r>
      <w:r w:rsidRPr="00052826">
        <w:rPr>
          <w:color w:val="000000" w:themeColor="text1"/>
          <w:lang w:val="es-ES"/>
        </w:rPr>
        <w:t xml:space="preserve">, </w:t>
      </w:r>
      <w:r w:rsidRPr="00052826">
        <w:rPr>
          <w:i/>
          <w:iCs/>
          <w:color w:val="000000" w:themeColor="text1"/>
          <w:lang w:val="es-ES"/>
        </w:rPr>
        <w:t>27</w:t>
      </w:r>
      <w:r w:rsidR="00813E8F" w:rsidRPr="00052826">
        <w:rPr>
          <w:iCs/>
          <w:color w:val="000000" w:themeColor="text1"/>
          <w:lang w:val="es-ES"/>
        </w:rPr>
        <w:t>(1)</w:t>
      </w:r>
      <w:r w:rsidRPr="00052826">
        <w:rPr>
          <w:color w:val="000000" w:themeColor="text1"/>
          <w:lang w:val="es-ES"/>
        </w:rPr>
        <w:t>, 113–124</w:t>
      </w:r>
      <w:r w:rsidR="001D02E1" w:rsidRPr="00052826">
        <w:rPr>
          <w:color w:val="000000" w:themeColor="text1"/>
          <w:lang w:val="es-ES"/>
        </w:rPr>
        <w:t xml:space="preserve">. </w:t>
      </w:r>
      <w:r w:rsidR="00F43849" w:rsidRPr="00052826">
        <w:rPr>
          <w:color w:val="000000" w:themeColor="text1"/>
          <w:lang w:val="es-ES"/>
        </w:rPr>
        <w:t>https://doi.org/</w:t>
      </w:r>
      <w:r w:rsidRPr="00052826">
        <w:rPr>
          <w:color w:val="000000" w:themeColor="text1"/>
          <w:lang w:val="es-ES"/>
        </w:rPr>
        <w:t>10.22325/fes/res.2018.7</w:t>
      </w:r>
    </w:p>
    <w:p w14:paraId="34936D1A" w14:textId="3AA2C556" w:rsidR="00310E38" w:rsidRPr="00052826" w:rsidRDefault="00310E38" w:rsidP="006D08A5">
      <w:pPr>
        <w:shd w:val="clear" w:color="auto" w:fill="FFFFFF" w:themeFill="background1"/>
        <w:ind w:left="480" w:hanging="480"/>
        <w:rPr>
          <w:color w:val="000000" w:themeColor="text1"/>
          <w:lang w:val="es-ES"/>
        </w:rPr>
      </w:pPr>
      <w:r w:rsidRPr="00052826">
        <w:rPr>
          <w:color w:val="000000" w:themeColor="text1"/>
          <w:lang w:val="es-ES"/>
        </w:rPr>
        <w:t xml:space="preserve">Roselló Villalonga, J., &amp; Oliver </w:t>
      </w:r>
      <w:proofErr w:type="spellStart"/>
      <w:r w:rsidRPr="00052826">
        <w:rPr>
          <w:color w:val="000000" w:themeColor="text1"/>
          <w:lang w:val="es-ES"/>
        </w:rPr>
        <w:t>Rullán</w:t>
      </w:r>
      <w:proofErr w:type="spellEnd"/>
      <w:r w:rsidRPr="00052826">
        <w:rPr>
          <w:color w:val="000000" w:themeColor="text1"/>
          <w:lang w:val="es-ES"/>
        </w:rPr>
        <w:t xml:space="preserve">, X. (2014). </w:t>
      </w:r>
      <w:r w:rsidRPr="00F25A2E">
        <w:rPr>
          <w:color w:val="000000" w:themeColor="text1"/>
          <w:lang w:val="en-GB"/>
        </w:rPr>
        <w:t xml:space="preserve">The determinants of non-compulsory education demand: An analysis from the students’ perspective. </w:t>
      </w:r>
      <w:r w:rsidRPr="00052826">
        <w:rPr>
          <w:i/>
          <w:iCs/>
          <w:color w:val="000000" w:themeColor="text1"/>
          <w:lang w:val="es-ES"/>
        </w:rPr>
        <w:t>Revista de Educación</w:t>
      </w:r>
      <w:r w:rsidRPr="00052826">
        <w:rPr>
          <w:color w:val="000000" w:themeColor="text1"/>
          <w:lang w:val="es-ES"/>
        </w:rPr>
        <w:t xml:space="preserve">, </w:t>
      </w:r>
      <w:r w:rsidRPr="00052826">
        <w:rPr>
          <w:i/>
          <w:iCs/>
          <w:color w:val="000000" w:themeColor="text1"/>
          <w:lang w:val="es-ES"/>
        </w:rPr>
        <w:t>365</w:t>
      </w:r>
      <w:r w:rsidRPr="00052826">
        <w:rPr>
          <w:color w:val="000000" w:themeColor="text1"/>
          <w:lang w:val="es-ES"/>
        </w:rPr>
        <w:t xml:space="preserve">, 202–236. </w:t>
      </w:r>
      <w:r w:rsidR="00F43849" w:rsidRPr="00052826">
        <w:rPr>
          <w:color w:val="000000" w:themeColor="text1"/>
          <w:lang w:val="es-ES"/>
        </w:rPr>
        <w:t>https://doi.org/</w:t>
      </w:r>
      <w:r w:rsidRPr="00052826">
        <w:rPr>
          <w:color w:val="000000" w:themeColor="text1"/>
          <w:lang w:val="es-ES"/>
        </w:rPr>
        <w:t>10.4438/1988-592X-RE-2014-365-270</w:t>
      </w:r>
    </w:p>
    <w:p w14:paraId="16CD4687" w14:textId="7DE98DEE" w:rsidR="00310E38" w:rsidRPr="00F25A2E" w:rsidRDefault="00310E38" w:rsidP="006D08A5">
      <w:pPr>
        <w:shd w:val="clear" w:color="auto" w:fill="FFFFFF" w:themeFill="background1"/>
        <w:ind w:left="480" w:hanging="480"/>
        <w:rPr>
          <w:color w:val="000000" w:themeColor="text1"/>
          <w:lang w:val="en-GB"/>
        </w:rPr>
      </w:pPr>
      <w:r w:rsidRPr="00052826">
        <w:rPr>
          <w:color w:val="000000" w:themeColor="text1"/>
          <w:lang w:val="es-ES"/>
        </w:rPr>
        <w:t xml:space="preserve">Ross, A., &amp; </w:t>
      </w:r>
      <w:proofErr w:type="spellStart"/>
      <w:r w:rsidRPr="00052826">
        <w:rPr>
          <w:color w:val="000000" w:themeColor="text1"/>
          <w:lang w:val="es-ES"/>
        </w:rPr>
        <w:t>Leathwood</w:t>
      </w:r>
      <w:proofErr w:type="spellEnd"/>
      <w:r w:rsidRPr="00052826">
        <w:rPr>
          <w:color w:val="000000" w:themeColor="text1"/>
          <w:lang w:val="es-ES"/>
        </w:rPr>
        <w:t xml:space="preserve">, C. (2013). </w:t>
      </w:r>
      <w:r w:rsidRPr="00F25A2E">
        <w:rPr>
          <w:color w:val="000000" w:themeColor="text1"/>
          <w:lang w:val="en-GB"/>
        </w:rPr>
        <w:t xml:space="preserve">Problematising early </w:t>
      </w:r>
      <w:proofErr w:type="gramStart"/>
      <w:r w:rsidRPr="00F25A2E">
        <w:rPr>
          <w:color w:val="000000" w:themeColor="text1"/>
          <w:lang w:val="en-GB"/>
        </w:rPr>
        <w:t>school</w:t>
      </w:r>
      <w:proofErr w:type="gramEnd"/>
      <w:r w:rsidRPr="00F25A2E">
        <w:rPr>
          <w:color w:val="000000" w:themeColor="text1"/>
          <w:lang w:val="en-GB"/>
        </w:rPr>
        <w:t xml:space="preserve"> leaving. </w:t>
      </w:r>
      <w:r w:rsidRPr="00F25A2E">
        <w:rPr>
          <w:i/>
          <w:iCs/>
          <w:color w:val="000000" w:themeColor="text1"/>
          <w:lang w:val="en-GB"/>
        </w:rPr>
        <w:t>European Journal of Education</w:t>
      </w:r>
      <w:r w:rsidRPr="00F25A2E">
        <w:rPr>
          <w:color w:val="000000" w:themeColor="text1"/>
          <w:lang w:val="en-GB"/>
        </w:rPr>
        <w:t xml:space="preserve">, </w:t>
      </w:r>
      <w:r w:rsidRPr="00F25A2E">
        <w:rPr>
          <w:i/>
          <w:iCs/>
          <w:color w:val="000000" w:themeColor="text1"/>
          <w:lang w:val="en-GB"/>
        </w:rPr>
        <w:t>48</w:t>
      </w:r>
      <w:r w:rsidR="00813E8F" w:rsidRPr="00F25A2E">
        <w:rPr>
          <w:iCs/>
          <w:color w:val="000000" w:themeColor="text1"/>
          <w:lang w:val="en-GB"/>
        </w:rPr>
        <w:t>(3)</w:t>
      </w:r>
      <w:r w:rsidRPr="00F25A2E">
        <w:rPr>
          <w:color w:val="000000" w:themeColor="text1"/>
          <w:lang w:val="en-GB"/>
        </w:rPr>
        <w:t xml:space="preserve">, 405–418. </w:t>
      </w:r>
      <w:r w:rsidR="00F43849" w:rsidRPr="00F25A2E">
        <w:rPr>
          <w:color w:val="000000" w:themeColor="text1"/>
          <w:lang w:val="en-GB"/>
        </w:rPr>
        <w:t>https://doi.org/</w:t>
      </w:r>
      <w:r w:rsidRPr="00F25A2E">
        <w:rPr>
          <w:color w:val="000000" w:themeColor="text1"/>
          <w:lang w:val="en-GB"/>
        </w:rPr>
        <w:t>10.1111/ejed.12038</w:t>
      </w:r>
    </w:p>
    <w:p w14:paraId="5C1778D7" w14:textId="77777777"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Rumberger, R. W., &amp; Lim, S. (2008). </w:t>
      </w:r>
      <w:r w:rsidRPr="00F25A2E">
        <w:rPr>
          <w:i/>
          <w:iCs/>
          <w:color w:val="000000" w:themeColor="text1"/>
          <w:lang w:val="en-GB"/>
        </w:rPr>
        <w:t>Why students drop out of school: A review of 25 years of research</w:t>
      </w:r>
      <w:r w:rsidRPr="00F25A2E">
        <w:rPr>
          <w:color w:val="000000" w:themeColor="text1"/>
          <w:lang w:val="en-GB"/>
        </w:rPr>
        <w:t>. Santa Barbara: University of California.</w:t>
      </w:r>
    </w:p>
    <w:p w14:paraId="0B83BB1B" w14:textId="4277192F"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Rumberger, R. W., &amp; Rotermund, S. (2012). The relationship between engagement and high school dropout. In S. L. Christenson, A. L. Reschly, &amp; C. Wylie (Eds.), </w:t>
      </w:r>
      <w:r w:rsidRPr="00F25A2E">
        <w:rPr>
          <w:i/>
          <w:iCs/>
          <w:color w:val="000000" w:themeColor="text1"/>
          <w:lang w:val="en-GB"/>
        </w:rPr>
        <w:t>Handbook of research on student engagement</w:t>
      </w:r>
      <w:r w:rsidRPr="00F25A2E">
        <w:rPr>
          <w:color w:val="000000" w:themeColor="text1"/>
          <w:lang w:val="en-GB"/>
        </w:rPr>
        <w:t xml:space="preserve"> (pp. 497–513). Boston: Springer. </w:t>
      </w:r>
      <w:r w:rsidR="00F43849" w:rsidRPr="00F25A2E">
        <w:rPr>
          <w:color w:val="000000" w:themeColor="text1"/>
          <w:lang w:val="en-GB"/>
        </w:rPr>
        <w:t>https://doi.org/</w:t>
      </w:r>
      <w:r w:rsidRPr="00F25A2E">
        <w:rPr>
          <w:color w:val="000000" w:themeColor="text1"/>
          <w:lang w:val="en-GB"/>
        </w:rPr>
        <w:t>10.1007/978-1-4614-2018-7_24</w:t>
      </w:r>
    </w:p>
    <w:p w14:paraId="633A524A" w14:textId="4564255E" w:rsidR="009F6459" w:rsidRPr="00F25A2E" w:rsidRDefault="009F6459" w:rsidP="006D08A5">
      <w:pPr>
        <w:shd w:val="clear" w:color="auto" w:fill="FFFFFF" w:themeFill="background1"/>
        <w:ind w:left="480" w:hanging="480"/>
        <w:rPr>
          <w:color w:val="000000" w:themeColor="text1"/>
          <w:lang w:val="en-GB"/>
        </w:rPr>
      </w:pPr>
      <w:r w:rsidRPr="00F25A2E">
        <w:rPr>
          <w:color w:val="000000" w:themeColor="text1"/>
          <w:lang w:val="en-GB"/>
        </w:rPr>
        <w:t xml:space="preserve">Schembri, A. (2019). Mental health, well-being and school leaving. </w:t>
      </w:r>
      <w:proofErr w:type="spellStart"/>
      <w:r w:rsidRPr="00F25A2E">
        <w:rPr>
          <w:i/>
          <w:color w:val="000000" w:themeColor="text1"/>
          <w:lang w:val="en-GB"/>
        </w:rPr>
        <w:t>Psychreg</w:t>
      </w:r>
      <w:proofErr w:type="spellEnd"/>
      <w:r w:rsidRPr="00F25A2E">
        <w:rPr>
          <w:i/>
          <w:color w:val="000000" w:themeColor="text1"/>
          <w:lang w:val="en-GB"/>
        </w:rPr>
        <w:t xml:space="preserve"> Journal of Psychology, 3</w:t>
      </w:r>
      <w:r w:rsidRPr="00F25A2E">
        <w:rPr>
          <w:color w:val="000000" w:themeColor="text1"/>
          <w:lang w:val="en-GB"/>
        </w:rPr>
        <w:t>(2), 1</w:t>
      </w:r>
      <w:r w:rsidR="00FA1175" w:rsidRPr="00F25A2E">
        <w:rPr>
          <w:color w:val="000000" w:themeColor="text1"/>
          <w:lang w:val="en-GB"/>
        </w:rPr>
        <w:t>–</w:t>
      </w:r>
      <w:r w:rsidRPr="00F25A2E">
        <w:rPr>
          <w:color w:val="000000" w:themeColor="text1"/>
          <w:lang w:val="en-GB"/>
        </w:rPr>
        <w:t xml:space="preserve">4. </w:t>
      </w:r>
      <w:r w:rsidR="00F43849" w:rsidRPr="00F25A2E">
        <w:rPr>
          <w:color w:val="000000" w:themeColor="text1"/>
          <w:lang w:val="en-GB"/>
        </w:rPr>
        <w:t>https://doi.org/</w:t>
      </w:r>
      <w:r w:rsidRPr="00F25A2E">
        <w:rPr>
          <w:color w:val="000000" w:themeColor="text1"/>
          <w:lang w:val="en-GB"/>
        </w:rPr>
        <w:t>10.5281/zenodo.3236673</w:t>
      </w:r>
    </w:p>
    <w:p w14:paraId="3F375ED8" w14:textId="77777777"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Serrano, L., Soler, A., &amp; Hernández, L. (2013). </w:t>
      </w:r>
      <w:r w:rsidRPr="00052826">
        <w:rPr>
          <w:i/>
          <w:iCs/>
          <w:color w:val="000000" w:themeColor="text1"/>
          <w:lang w:val="es-ES"/>
        </w:rPr>
        <w:t>El abandono educativo temprano: Análisis del caso español</w:t>
      </w:r>
      <w:r w:rsidRPr="00052826">
        <w:rPr>
          <w:color w:val="000000" w:themeColor="text1"/>
          <w:lang w:val="es-ES"/>
        </w:rPr>
        <w:t xml:space="preserve">. </w:t>
      </w:r>
      <w:r w:rsidRPr="00F25A2E">
        <w:rPr>
          <w:color w:val="000000" w:themeColor="text1"/>
          <w:lang w:val="en-GB"/>
        </w:rPr>
        <w:t xml:space="preserve">Valencia: Instituto Valenciano de </w:t>
      </w:r>
      <w:proofErr w:type="spellStart"/>
      <w:r w:rsidRPr="00F25A2E">
        <w:rPr>
          <w:color w:val="000000" w:themeColor="text1"/>
          <w:lang w:val="en-GB"/>
        </w:rPr>
        <w:t>Investigaciones</w:t>
      </w:r>
      <w:proofErr w:type="spellEnd"/>
      <w:r w:rsidRPr="00F25A2E">
        <w:rPr>
          <w:color w:val="000000" w:themeColor="text1"/>
          <w:lang w:val="en-GB"/>
        </w:rPr>
        <w:t xml:space="preserve"> </w:t>
      </w:r>
      <w:proofErr w:type="spellStart"/>
      <w:r w:rsidRPr="00F25A2E">
        <w:rPr>
          <w:color w:val="000000" w:themeColor="text1"/>
          <w:lang w:val="en-GB"/>
        </w:rPr>
        <w:t>Económicas</w:t>
      </w:r>
      <w:proofErr w:type="spellEnd"/>
      <w:r w:rsidRPr="00F25A2E">
        <w:rPr>
          <w:color w:val="000000" w:themeColor="text1"/>
          <w:lang w:val="en-GB"/>
        </w:rPr>
        <w:t>.</w:t>
      </w:r>
    </w:p>
    <w:p w14:paraId="555312C4" w14:textId="091EF7FA" w:rsidR="00310E38" w:rsidRPr="00F25A2E" w:rsidRDefault="00310E38" w:rsidP="006D08A5">
      <w:pPr>
        <w:shd w:val="clear" w:color="auto" w:fill="FFFFFF" w:themeFill="background1"/>
        <w:ind w:left="480" w:hanging="480"/>
        <w:rPr>
          <w:color w:val="000000" w:themeColor="text1"/>
          <w:lang w:val="en-GB"/>
        </w:rPr>
      </w:pPr>
      <w:r w:rsidRPr="00F25A2E">
        <w:rPr>
          <w:color w:val="000000" w:themeColor="text1"/>
          <w:lang w:val="en-GB"/>
        </w:rPr>
        <w:t xml:space="preserve">Squires, G. (2019). A European consideration of early school leaving as a process running through childhood: a model for inclusive action. </w:t>
      </w:r>
      <w:r w:rsidRPr="00F25A2E">
        <w:rPr>
          <w:i/>
          <w:color w:val="000000" w:themeColor="text1"/>
          <w:lang w:val="en-GB"/>
        </w:rPr>
        <w:t>Education, 3</w:t>
      </w:r>
      <w:r w:rsidRPr="00F25A2E">
        <w:rPr>
          <w:color w:val="000000" w:themeColor="text1"/>
          <w:lang w:val="en-GB"/>
        </w:rPr>
        <w:t xml:space="preserve">(13). </w:t>
      </w:r>
      <w:r w:rsidR="00F43849" w:rsidRPr="00F25A2E">
        <w:rPr>
          <w:color w:val="000000" w:themeColor="text1"/>
          <w:lang w:val="en-GB"/>
        </w:rPr>
        <w:t>https://doi.org/</w:t>
      </w:r>
      <w:r w:rsidRPr="00F25A2E">
        <w:rPr>
          <w:color w:val="000000" w:themeColor="text1"/>
          <w:lang w:val="en-GB"/>
        </w:rPr>
        <w:t>10.1080/03004279.2019.1664412</w:t>
      </w:r>
    </w:p>
    <w:p w14:paraId="6F03DB9E" w14:textId="114A7441" w:rsidR="00310E38" w:rsidRPr="00F25A2E" w:rsidRDefault="00310E38" w:rsidP="006D08A5">
      <w:pPr>
        <w:shd w:val="clear" w:color="auto" w:fill="FFFFFF" w:themeFill="background1"/>
        <w:ind w:left="480" w:hanging="480"/>
        <w:rPr>
          <w:color w:val="000000" w:themeColor="text1"/>
          <w:lang w:val="en-GB"/>
        </w:rPr>
      </w:pPr>
      <w:proofErr w:type="spellStart"/>
      <w:r w:rsidRPr="00F25A2E">
        <w:rPr>
          <w:color w:val="000000" w:themeColor="text1"/>
          <w:lang w:val="en-GB"/>
        </w:rPr>
        <w:t>Str</w:t>
      </w:r>
      <w:r w:rsidR="00813E8F" w:rsidRPr="00F25A2E">
        <w:rPr>
          <w:color w:val="000000" w:themeColor="text1"/>
          <w:lang w:val="en-GB"/>
        </w:rPr>
        <w:t>uffolino</w:t>
      </w:r>
      <w:proofErr w:type="spellEnd"/>
      <w:r w:rsidR="00813E8F" w:rsidRPr="00F25A2E">
        <w:rPr>
          <w:color w:val="000000" w:themeColor="text1"/>
          <w:lang w:val="en-GB"/>
        </w:rPr>
        <w:t>, E., &amp; Borgna, C. (2021</w:t>
      </w:r>
      <w:r w:rsidRPr="00F25A2E">
        <w:rPr>
          <w:color w:val="000000" w:themeColor="text1"/>
          <w:lang w:val="en-GB"/>
        </w:rPr>
        <w:t xml:space="preserve">). Who is really ‘left behind’? Half a century of gender differences in the school-to-work transitions of low-educated youth. </w:t>
      </w:r>
      <w:r w:rsidRPr="00F25A2E">
        <w:rPr>
          <w:i/>
          <w:color w:val="000000" w:themeColor="text1"/>
          <w:lang w:val="en-GB"/>
        </w:rPr>
        <w:t>Journal of Youth Studies</w:t>
      </w:r>
      <w:r w:rsidR="00813E8F" w:rsidRPr="00F25A2E">
        <w:rPr>
          <w:i/>
          <w:color w:val="000000" w:themeColor="text1"/>
          <w:lang w:val="en-GB"/>
        </w:rPr>
        <w:t>, 24</w:t>
      </w:r>
      <w:r w:rsidR="00813E8F" w:rsidRPr="00F25A2E">
        <w:rPr>
          <w:color w:val="000000" w:themeColor="text1"/>
          <w:lang w:val="en-GB"/>
        </w:rPr>
        <w:t>(2), 162-185</w:t>
      </w:r>
      <w:r w:rsidRPr="00F25A2E">
        <w:rPr>
          <w:i/>
          <w:color w:val="000000" w:themeColor="text1"/>
          <w:lang w:val="en-GB"/>
        </w:rPr>
        <w:t xml:space="preserve">. </w:t>
      </w:r>
      <w:r w:rsidR="00F43849" w:rsidRPr="00F25A2E">
        <w:rPr>
          <w:color w:val="000000" w:themeColor="text1"/>
          <w:lang w:val="en-GB"/>
        </w:rPr>
        <w:t>https://doi.org/</w:t>
      </w:r>
      <w:r w:rsidRPr="00F25A2E">
        <w:rPr>
          <w:color w:val="000000" w:themeColor="text1"/>
          <w:lang w:val="en-GB"/>
        </w:rPr>
        <w:t>10.1080/13676261.2020.1713308</w:t>
      </w:r>
    </w:p>
    <w:p w14:paraId="3455EE85" w14:textId="1413436F" w:rsidR="007A3C34" w:rsidRPr="00052826" w:rsidRDefault="007A3C34" w:rsidP="006D08A5">
      <w:pPr>
        <w:shd w:val="clear" w:color="auto" w:fill="FFFFFF" w:themeFill="background1"/>
        <w:ind w:left="480" w:hanging="480"/>
        <w:rPr>
          <w:color w:val="000000" w:themeColor="text1"/>
          <w:lang w:val="es-ES"/>
        </w:rPr>
      </w:pPr>
      <w:proofErr w:type="spellStart"/>
      <w:r w:rsidRPr="00F25A2E">
        <w:rPr>
          <w:color w:val="000000" w:themeColor="text1"/>
          <w:lang w:val="en-GB"/>
        </w:rPr>
        <w:lastRenderedPageBreak/>
        <w:t>Tarabini</w:t>
      </w:r>
      <w:proofErr w:type="spellEnd"/>
      <w:r w:rsidRPr="00F25A2E">
        <w:rPr>
          <w:color w:val="000000" w:themeColor="text1"/>
          <w:lang w:val="en-GB"/>
        </w:rPr>
        <w:t xml:space="preserve">, A. (2019). </w:t>
      </w:r>
      <w:r w:rsidRPr="00F25A2E">
        <w:rPr>
          <w:i/>
          <w:color w:val="000000" w:themeColor="text1"/>
          <w:lang w:val="en-GB"/>
        </w:rPr>
        <w:t xml:space="preserve">The conditions for school success. Examining educational exclusion and dropping out. </w:t>
      </w:r>
      <w:proofErr w:type="spellStart"/>
      <w:r w:rsidRPr="00052826">
        <w:rPr>
          <w:color w:val="000000" w:themeColor="text1"/>
          <w:lang w:val="es-ES"/>
        </w:rPr>
        <w:t>Palgrave</w:t>
      </w:r>
      <w:proofErr w:type="spellEnd"/>
      <w:r w:rsidRPr="00052826">
        <w:rPr>
          <w:color w:val="000000" w:themeColor="text1"/>
          <w:lang w:val="es-ES"/>
        </w:rPr>
        <w:t xml:space="preserve"> Macmillan. </w:t>
      </w:r>
      <w:r w:rsidR="00F43849" w:rsidRPr="00052826">
        <w:rPr>
          <w:color w:val="000000" w:themeColor="text1"/>
          <w:lang w:val="es-ES"/>
        </w:rPr>
        <w:t>https://doi.org/</w:t>
      </w:r>
      <w:r w:rsidRPr="00052826">
        <w:rPr>
          <w:color w:val="000000" w:themeColor="text1"/>
          <w:lang w:val="es-ES"/>
        </w:rPr>
        <w:t>10.1007/978-3-030-02523-6</w:t>
      </w:r>
    </w:p>
    <w:p w14:paraId="03CC3D9F" w14:textId="0464FB19" w:rsidR="00DF717A" w:rsidRPr="00052826" w:rsidRDefault="00DF717A" w:rsidP="006D08A5">
      <w:pPr>
        <w:shd w:val="clear" w:color="auto" w:fill="FFFFFF" w:themeFill="background1"/>
        <w:ind w:left="480" w:hanging="480"/>
        <w:rPr>
          <w:color w:val="000000" w:themeColor="text1"/>
          <w:lang w:val="es-ES"/>
        </w:rPr>
      </w:pPr>
      <w:proofErr w:type="spellStart"/>
      <w:r w:rsidRPr="00052826">
        <w:rPr>
          <w:color w:val="000000" w:themeColor="text1"/>
          <w:lang w:val="es-ES"/>
        </w:rPr>
        <w:t>Tarabini</w:t>
      </w:r>
      <w:proofErr w:type="spellEnd"/>
      <w:r w:rsidRPr="00052826">
        <w:rPr>
          <w:color w:val="000000" w:themeColor="text1"/>
          <w:lang w:val="es-ES"/>
        </w:rPr>
        <w:t xml:space="preserve">, A., Castejón, A., &amp; Curran, M. (2020). Capacidades, hábitos y carácter: atribuciones docentes sobre el alumnado de Bachillerato y Formación Profesional. </w:t>
      </w:r>
      <w:proofErr w:type="spellStart"/>
      <w:r w:rsidRPr="00052826">
        <w:rPr>
          <w:i/>
          <w:color w:val="000000" w:themeColor="text1"/>
          <w:lang w:val="es-ES"/>
        </w:rPr>
        <w:t>Papers</w:t>
      </w:r>
      <w:proofErr w:type="spellEnd"/>
      <w:r w:rsidRPr="00052826">
        <w:rPr>
          <w:i/>
          <w:color w:val="000000" w:themeColor="text1"/>
          <w:lang w:val="es-ES"/>
        </w:rPr>
        <w:t>. Revista de Sociología</w:t>
      </w:r>
      <w:r w:rsidR="00813E8F" w:rsidRPr="00052826">
        <w:rPr>
          <w:i/>
          <w:color w:val="000000" w:themeColor="text1"/>
          <w:lang w:val="es-ES"/>
        </w:rPr>
        <w:t>, 105</w:t>
      </w:r>
      <w:r w:rsidR="00813E8F" w:rsidRPr="00052826">
        <w:rPr>
          <w:color w:val="000000" w:themeColor="text1"/>
          <w:lang w:val="es-ES"/>
        </w:rPr>
        <w:t>(2), 211-234</w:t>
      </w:r>
      <w:r w:rsidRPr="00052826">
        <w:rPr>
          <w:i/>
          <w:color w:val="000000" w:themeColor="text1"/>
          <w:lang w:val="es-ES"/>
        </w:rPr>
        <w:t xml:space="preserve">. </w:t>
      </w:r>
      <w:r w:rsidR="00F43849" w:rsidRPr="00052826">
        <w:rPr>
          <w:color w:val="000000" w:themeColor="text1"/>
          <w:lang w:val="es-ES"/>
        </w:rPr>
        <w:t>https://doi.org/</w:t>
      </w:r>
      <w:r w:rsidRPr="00052826">
        <w:rPr>
          <w:color w:val="000000" w:themeColor="text1"/>
          <w:lang w:val="es-ES"/>
        </w:rPr>
        <w:t>10.5565/rev/papers.2778</w:t>
      </w:r>
    </w:p>
    <w:p w14:paraId="4D347BCC" w14:textId="34FB698B" w:rsidR="00310E38" w:rsidRPr="00052826" w:rsidRDefault="00310E38" w:rsidP="006D08A5">
      <w:pPr>
        <w:shd w:val="clear" w:color="auto" w:fill="FFFFFF" w:themeFill="background1"/>
        <w:ind w:left="480" w:hanging="480"/>
        <w:rPr>
          <w:color w:val="000000" w:themeColor="text1"/>
          <w:lang w:val="es-ES"/>
        </w:rPr>
      </w:pPr>
      <w:proofErr w:type="spellStart"/>
      <w:r w:rsidRPr="00052826">
        <w:rPr>
          <w:color w:val="000000" w:themeColor="text1"/>
          <w:lang w:val="es-ES"/>
        </w:rPr>
        <w:t>Tarabini</w:t>
      </w:r>
      <w:proofErr w:type="spellEnd"/>
      <w:r w:rsidRPr="00052826">
        <w:rPr>
          <w:color w:val="000000" w:themeColor="text1"/>
          <w:lang w:val="es-ES"/>
        </w:rPr>
        <w:t xml:space="preserve">, A., Curran, M., Montes, A., &amp; </w:t>
      </w:r>
      <w:proofErr w:type="spellStart"/>
      <w:r w:rsidRPr="00052826">
        <w:rPr>
          <w:color w:val="000000" w:themeColor="text1"/>
          <w:lang w:val="es-ES"/>
        </w:rPr>
        <w:t>Parcerisa</w:t>
      </w:r>
      <w:proofErr w:type="spellEnd"/>
      <w:r w:rsidRPr="00052826">
        <w:rPr>
          <w:color w:val="000000" w:themeColor="text1"/>
          <w:lang w:val="es-ES"/>
        </w:rPr>
        <w:t xml:space="preserve">, L. (2015). </w:t>
      </w:r>
      <w:r w:rsidRPr="00F25A2E">
        <w:rPr>
          <w:color w:val="000000" w:themeColor="text1"/>
          <w:lang w:val="en-GB"/>
        </w:rPr>
        <w:t xml:space="preserve">School engagement as an antidote of early school leaving: Exploring the role of the institutional habitus. </w:t>
      </w:r>
      <w:r w:rsidRPr="00052826">
        <w:rPr>
          <w:i/>
          <w:iCs/>
          <w:color w:val="000000" w:themeColor="text1"/>
          <w:lang w:val="es-ES"/>
        </w:rPr>
        <w:t xml:space="preserve">Profesorado. Revista de </w:t>
      </w:r>
      <w:proofErr w:type="spellStart"/>
      <w:r w:rsidRPr="00052826">
        <w:rPr>
          <w:i/>
          <w:iCs/>
          <w:color w:val="000000" w:themeColor="text1"/>
          <w:lang w:val="es-ES"/>
        </w:rPr>
        <w:t>Curriculum</w:t>
      </w:r>
      <w:proofErr w:type="spellEnd"/>
      <w:r w:rsidRPr="00052826">
        <w:rPr>
          <w:i/>
          <w:iCs/>
          <w:color w:val="000000" w:themeColor="text1"/>
          <w:lang w:val="es-ES"/>
        </w:rPr>
        <w:t xml:space="preserve"> y Formación Del Profesorado</w:t>
      </w:r>
      <w:r w:rsidRPr="00052826">
        <w:rPr>
          <w:color w:val="000000" w:themeColor="text1"/>
          <w:lang w:val="es-ES"/>
        </w:rPr>
        <w:t xml:space="preserve">, </w:t>
      </w:r>
      <w:r w:rsidRPr="00052826">
        <w:rPr>
          <w:i/>
          <w:iCs/>
          <w:color w:val="000000" w:themeColor="text1"/>
          <w:lang w:val="es-ES"/>
        </w:rPr>
        <w:t>19</w:t>
      </w:r>
      <w:r w:rsidR="0013713E" w:rsidRPr="00052826">
        <w:rPr>
          <w:iCs/>
          <w:color w:val="000000" w:themeColor="text1"/>
          <w:lang w:val="es-ES"/>
        </w:rPr>
        <w:t>(3)</w:t>
      </w:r>
      <w:r w:rsidRPr="00052826">
        <w:rPr>
          <w:color w:val="000000" w:themeColor="text1"/>
          <w:lang w:val="es-ES"/>
        </w:rPr>
        <w:t>, 196–212.</w:t>
      </w:r>
    </w:p>
    <w:p w14:paraId="2A4EBFD3" w14:textId="245A4BB7" w:rsidR="00986996" w:rsidRPr="00F25A2E" w:rsidRDefault="00986996" w:rsidP="006D08A5">
      <w:pPr>
        <w:shd w:val="clear" w:color="auto" w:fill="FFFFFF" w:themeFill="background1"/>
        <w:ind w:left="480" w:hanging="480"/>
        <w:rPr>
          <w:color w:val="000000" w:themeColor="text1"/>
          <w:lang w:val="en-GB"/>
        </w:rPr>
      </w:pPr>
      <w:proofErr w:type="spellStart"/>
      <w:r w:rsidRPr="00052826">
        <w:rPr>
          <w:color w:val="000000" w:themeColor="text1"/>
          <w:lang w:val="es-ES"/>
        </w:rPr>
        <w:t>Tarabini</w:t>
      </w:r>
      <w:proofErr w:type="spellEnd"/>
      <w:r w:rsidRPr="00052826">
        <w:rPr>
          <w:color w:val="000000" w:themeColor="text1"/>
          <w:lang w:val="es-ES"/>
        </w:rPr>
        <w:t xml:space="preserve">, A., Curran, M., Montes, A., &amp; </w:t>
      </w:r>
      <w:proofErr w:type="spellStart"/>
      <w:r w:rsidRPr="00052826">
        <w:rPr>
          <w:color w:val="000000" w:themeColor="text1"/>
          <w:lang w:val="es-ES"/>
        </w:rPr>
        <w:t>Parcerisa</w:t>
      </w:r>
      <w:proofErr w:type="spellEnd"/>
      <w:r w:rsidRPr="00052826">
        <w:rPr>
          <w:color w:val="000000" w:themeColor="text1"/>
          <w:lang w:val="es-ES"/>
        </w:rPr>
        <w:t xml:space="preserve">, L. (2018). </w:t>
      </w:r>
      <w:r w:rsidRPr="00F25A2E">
        <w:rPr>
          <w:color w:val="000000" w:themeColor="text1"/>
          <w:lang w:val="en-GB"/>
        </w:rPr>
        <w:t xml:space="preserve">The politics of educational success: a realist evaluation of early school leaving policies in Catalonia (Spain). </w:t>
      </w:r>
      <w:r w:rsidRPr="00F25A2E">
        <w:rPr>
          <w:i/>
          <w:color w:val="000000" w:themeColor="text1"/>
          <w:lang w:val="en-GB"/>
        </w:rPr>
        <w:t>Critical Studies in Education, 59</w:t>
      </w:r>
      <w:r w:rsidRPr="00F25A2E">
        <w:rPr>
          <w:color w:val="000000" w:themeColor="text1"/>
          <w:lang w:val="en-GB"/>
        </w:rPr>
        <w:t xml:space="preserve">(3), 364-382. </w:t>
      </w:r>
      <w:r w:rsidR="00F43849" w:rsidRPr="00F25A2E">
        <w:rPr>
          <w:color w:val="000000" w:themeColor="text1"/>
          <w:lang w:val="en-GB"/>
        </w:rPr>
        <w:t>https://doi.org/</w:t>
      </w:r>
      <w:r w:rsidRPr="00F25A2E">
        <w:rPr>
          <w:color w:val="000000" w:themeColor="text1"/>
          <w:lang w:val="en-GB"/>
        </w:rPr>
        <w:t>10.1080/17508487.2016.1197842</w:t>
      </w:r>
    </w:p>
    <w:p w14:paraId="52A5D680" w14:textId="1B20A4F9" w:rsidR="00986996" w:rsidRPr="00F25A2E" w:rsidRDefault="00986996" w:rsidP="006D08A5">
      <w:pPr>
        <w:shd w:val="clear" w:color="auto" w:fill="FFFFFF" w:themeFill="background1"/>
        <w:ind w:left="480" w:hanging="480"/>
        <w:rPr>
          <w:color w:val="000000" w:themeColor="text1"/>
          <w:lang w:val="en-GB"/>
        </w:rPr>
      </w:pPr>
      <w:r w:rsidRPr="00F25A2E">
        <w:rPr>
          <w:color w:val="000000" w:themeColor="text1"/>
          <w:lang w:val="en-GB"/>
        </w:rPr>
        <w:t xml:space="preserve">Tumino, A. (2017). </w:t>
      </w:r>
      <w:r w:rsidRPr="00F25A2E">
        <w:rPr>
          <w:i/>
          <w:color w:val="000000" w:themeColor="text1"/>
          <w:lang w:val="en-GB"/>
        </w:rPr>
        <w:t xml:space="preserve">Essays in labour economics: School leaving, unemployment and retirement. </w:t>
      </w:r>
      <w:r w:rsidRPr="00F25A2E">
        <w:rPr>
          <w:color w:val="000000" w:themeColor="text1"/>
          <w:lang w:val="en-GB"/>
        </w:rPr>
        <w:t>PhD thesis, University of Essex.</w:t>
      </w:r>
    </w:p>
    <w:p w14:paraId="359BE294" w14:textId="12169FDC" w:rsidR="00FA1175" w:rsidRPr="00FA1175" w:rsidRDefault="00310E38" w:rsidP="00FA1175">
      <w:pPr>
        <w:shd w:val="clear" w:color="auto" w:fill="FFFFFF" w:themeFill="background1"/>
        <w:spacing w:after="1080"/>
        <w:ind w:left="475" w:hanging="475"/>
        <w:rPr>
          <w:color w:val="000000" w:themeColor="text1"/>
          <w:lang w:val="en-GB"/>
        </w:rPr>
      </w:pPr>
      <w:r w:rsidRPr="00F25A2E">
        <w:rPr>
          <w:color w:val="000000" w:themeColor="text1"/>
          <w:lang w:val="en-GB"/>
        </w:rPr>
        <w:t xml:space="preserve">Van Hek, M, </w:t>
      </w:r>
      <w:proofErr w:type="spellStart"/>
      <w:r w:rsidRPr="00F25A2E">
        <w:rPr>
          <w:color w:val="000000" w:themeColor="text1"/>
          <w:lang w:val="en-GB"/>
        </w:rPr>
        <w:t>Kraaykamp</w:t>
      </w:r>
      <w:proofErr w:type="spellEnd"/>
      <w:r w:rsidRPr="00F25A2E">
        <w:rPr>
          <w:color w:val="000000" w:themeColor="text1"/>
          <w:lang w:val="en-GB"/>
        </w:rPr>
        <w:t xml:space="preserve">, G., &amp; Wolbers, H.J. (2016). Comparing the gender gap in educational attainment: the impact of emancipatory contexts in 33 cohorts across 33 countries. </w:t>
      </w:r>
      <w:r w:rsidRPr="00F25A2E">
        <w:rPr>
          <w:i/>
          <w:color w:val="000000" w:themeColor="text1"/>
          <w:lang w:val="en-GB"/>
        </w:rPr>
        <w:t>Educational Research and Evaluation, 22</w:t>
      </w:r>
      <w:r w:rsidR="00813E8F" w:rsidRPr="00F25A2E">
        <w:rPr>
          <w:color w:val="000000" w:themeColor="text1"/>
          <w:lang w:val="en-GB"/>
        </w:rPr>
        <w:t>(5-6)</w:t>
      </w:r>
      <w:r w:rsidRPr="00F25A2E">
        <w:rPr>
          <w:color w:val="000000" w:themeColor="text1"/>
          <w:lang w:val="en-GB"/>
        </w:rPr>
        <w:t xml:space="preserve">, 260-282. </w:t>
      </w:r>
      <w:r w:rsidR="00F43849" w:rsidRPr="00F25A2E">
        <w:rPr>
          <w:color w:val="000000" w:themeColor="text1"/>
          <w:lang w:val="en-GB"/>
        </w:rPr>
        <w:t>https://doi.org/</w:t>
      </w:r>
      <w:r w:rsidRPr="00F25A2E">
        <w:rPr>
          <w:color w:val="000000" w:themeColor="text1"/>
          <w:lang w:val="en-GB"/>
        </w:rPr>
        <w:t>10.1080/13803611.2016.1256222</w:t>
      </w:r>
    </w:p>
    <w:p w14:paraId="109E6C35" w14:textId="002696B8" w:rsidR="00310E38" w:rsidRPr="00FA1175" w:rsidRDefault="00310E38" w:rsidP="006D08A5">
      <w:pPr>
        <w:keepNext/>
        <w:rPr>
          <w:bCs/>
          <w:color w:val="000000" w:themeColor="text1"/>
          <w:lang w:val="en-GB"/>
        </w:rPr>
      </w:pPr>
      <w:r w:rsidRPr="00813E8F">
        <w:rPr>
          <w:bCs/>
          <w:color w:val="000000" w:themeColor="text1"/>
          <w:lang w:val="en-GB"/>
        </w:rPr>
        <w:t xml:space="preserve">Table </w:t>
      </w:r>
      <w:r w:rsidR="00FA1175" w:rsidRPr="00813E8F">
        <w:rPr>
          <w:bCs/>
          <w:color w:val="000000" w:themeColor="text1"/>
          <w:lang w:val="en-GB"/>
        </w:rPr>
        <w:t>1</w:t>
      </w:r>
      <w:r w:rsidRPr="00813E8F">
        <w:rPr>
          <w:bCs/>
          <w:color w:val="000000" w:themeColor="text1"/>
          <w:lang w:val="en-GB"/>
        </w:rPr>
        <w:t xml:space="preserve">. List </w:t>
      </w:r>
      <w:r w:rsidRPr="00FA1175">
        <w:rPr>
          <w:bCs/>
          <w:color w:val="000000" w:themeColor="text1"/>
          <w:lang w:val="en-GB"/>
        </w:rPr>
        <w:t>of variables</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6096"/>
      </w:tblGrid>
      <w:tr w:rsidR="00B97B6A" w:rsidRPr="00F96EBF" w14:paraId="2FDEEA9F" w14:textId="77777777" w:rsidTr="001A72F4">
        <w:trPr>
          <w:trHeight w:val="227"/>
          <w:jc w:val="center"/>
        </w:trPr>
        <w:tc>
          <w:tcPr>
            <w:tcW w:w="2689" w:type="dxa"/>
            <w:shd w:val="clear" w:color="000000" w:fill="FFFFFF"/>
            <w:noWrap/>
            <w:vAlign w:val="bottom"/>
            <w:hideMark/>
          </w:tcPr>
          <w:p w14:paraId="28A9E228" w14:textId="77777777" w:rsidR="00310E38" w:rsidRPr="00F96EBF" w:rsidRDefault="00310E38" w:rsidP="006D08A5">
            <w:pPr>
              <w:keepNext/>
              <w:keepLines/>
              <w:rPr>
                <w:b/>
                <w:bCs/>
                <w:color w:val="000000" w:themeColor="text1"/>
                <w:sz w:val="20"/>
                <w:szCs w:val="20"/>
                <w:lang w:val="en-GB"/>
              </w:rPr>
            </w:pPr>
            <w:r w:rsidRPr="00F96EBF">
              <w:rPr>
                <w:b/>
                <w:bCs/>
                <w:color w:val="000000" w:themeColor="text1"/>
                <w:sz w:val="20"/>
                <w:szCs w:val="20"/>
                <w:lang w:val="en-GB"/>
              </w:rPr>
              <w:t>Indicator</w:t>
            </w:r>
          </w:p>
        </w:tc>
        <w:tc>
          <w:tcPr>
            <w:tcW w:w="6096" w:type="dxa"/>
            <w:shd w:val="clear" w:color="000000" w:fill="FFFFFF"/>
            <w:noWrap/>
            <w:vAlign w:val="bottom"/>
            <w:hideMark/>
          </w:tcPr>
          <w:p w14:paraId="1855D527" w14:textId="77777777" w:rsidR="00310E38" w:rsidRPr="00F96EBF" w:rsidRDefault="00310E38" w:rsidP="006D08A5">
            <w:pPr>
              <w:keepNext/>
              <w:keepLines/>
              <w:rPr>
                <w:b/>
                <w:color w:val="000000" w:themeColor="text1"/>
                <w:sz w:val="20"/>
                <w:szCs w:val="20"/>
                <w:lang w:val="en-GB"/>
              </w:rPr>
            </w:pPr>
            <w:r w:rsidRPr="00F96EBF">
              <w:rPr>
                <w:b/>
                <w:color w:val="000000" w:themeColor="text1"/>
                <w:sz w:val="20"/>
                <w:szCs w:val="20"/>
                <w:lang w:val="en-GB"/>
              </w:rPr>
              <w:t>Definition</w:t>
            </w:r>
          </w:p>
        </w:tc>
      </w:tr>
      <w:tr w:rsidR="00B97B6A" w:rsidRPr="00F96EBF" w14:paraId="6B66F030" w14:textId="77777777" w:rsidTr="001A72F4">
        <w:trPr>
          <w:trHeight w:val="227"/>
          <w:jc w:val="center"/>
        </w:trPr>
        <w:tc>
          <w:tcPr>
            <w:tcW w:w="2689" w:type="dxa"/>
            <w:shd w:val="clear" w:color="000000" w:fill="FFFFFF"/>
            <w:noWrap/>
            <w:vAlign w:val="center"/>
            <w:hideMark/>
          </w:tcPr>
          <w:p w14:paraId="12B32D72"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School life expectancy at 6</w:t>
            </w:r>
          </w:p>
        </w:tc>
        <w:tc>
          <w:tcPr>
            <w:tcW w:w="6096" w:type="dxa"/>
            <w:shd w:val="clear" w:color="000000" w:fill="FFFFFF"/>
            <w:noWrap/>
            <w:vAlign w:val="center"/>
            <w:hideMark/>
          </w:tcPr>
          <w:p w14:paraId="7EE32748" w14:textId="77777777" w:rsidR="00310E38" w:rsidRPr="00F96EBF" w:rsidRDefault="00310E38" w:rsidP="006D08A5">
            <w:pPr>
              <w:keepNext/>
              <w:keepLines/>
              <w:rPr>
                <w:color w:val="000000" w:themeColor="text1"/>
                <w:sz w:val="20"/>
                <w:szCs w:val="20"/>
                <w:lang w:val="en-GB"/>
              </w:rPr>
            </w:pPr>
            <w:r w:rsidRPr="00F96EBF">
              <w:rPr>
                <w:color w:val="000000" w:themeColor="text1"/>
                <w:sz w:val="20"/>
                <w:szCs w:val="20"/>
                <w:lang w:val="en-GB"/>
              </w:rPr>
              <w:t>Number of years that persons are expected to be enrolled in all educational stages</w:t>
            </w:r>
          </w:p>
        </w:tc>
      </w:tr>
      <w:tr w:rsidR="00B97B6A" w:rsidRPr="00F96EBF" w14:paraId="62B1FC0E" w14:textId="77777777" w:rsidTr="001A72F4">
        <w:trPr>
          <w:trHeight w:val="227"/>
          <w:jc w:val="center"/>
        </w:trPr>
        <w:tc>
          <w:tcPr>
            <w:tcW w:w="2689" w:type="dxa"/>
            <w:shd w:val="clear" w:color="000000" w:fill="FFFFFF"/>
            <w:noWrap/>
            <w:vAlign w:val="center"/>
          </w:tcPr>
          <w:p w14:paraId="6719452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Suitability rates at 15</w:t>
            </w:r>
          </w:p>
        </w:tc>
        <w:tc>
          <w:tcPr>
            <w:tcW w:w="6096" w:type="dxa"/>
            <w:shd w:val="clear" w:color="000000" w:fill="FFFFFF"/>
            <w:noWrap/>
            <w:vAlign w:val="center"/>
          </w:tcPr>
          <w:p w14:paraId="4F7F5378" w14:textId="77777777" w:rsidR="00310E38" w:rsidRPr="00F96EBF" w:rsidRDefault="00310E38" w:rsidP="006D08A5">
            <w:pPr>
              <w:keepNext/>
              <w:keepLines/>
              <w:rPr>
                <w:color w:val="000000" w:themeColor="text1"/>
                <w:sz w:val="20"/>
                <w:szCs w:val="20"/>
                <w:lang w:val="en-GB"/>
              </w:rPr>
            </w:pPr>
            <w:r w:rsidRPr="00F96EBF">
              <w:rPr>
                <w:color w:val="000000" w:themeColor="text1"/>
                <w:sz w:val="20"/>
                <w:szCs w:val="20"/>
                <w:lang w:val="en-GB"/>
              </w:rPr>
              <w:t>Proportion of 15-year-old students enrolled in the theoretical level that corresponds to the age of 15</w:t>
            </w:r>
          </w:p>
        </w:tc>
      </w:tr>
      <w:tr w:rsidR="00B97B6A" w:rsidRPr="00F96EBF" w14:paraId="03DD50C2" w14:textId="77777777" w:rsidTr="001A72F4">
        <w:trPr>
          <w:trHeight w:val="227"/>
          <w:jc w:val="center"/>
        </w:trPr>
        <w:tc>
          <w:tcPr>
            <w:tcW w:w="2689" w:type="dxa"/>
            <w:shd w:val="clear" w:color="000000" w:fill="FFFFFF"/>
            <w:noWrap/>
            <w:vAlign w:val="center"/>
          </w:tcPr>
          <w:p w14:paraId="611FA0A4"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Graduation rate at compulsory secondary education</w:t>
            </w:r>
          </w:p>
        </w:tc>
        <w:tc>
          <w:tcPr>
            <w:tcW w:w="6096" w:type="dxa"/>
            <w:shd w:val="clear" w:color="000000" w:fill="FFFFFF"/>
            <w:noWrap/>
            <w:vAlign w:val="center"/>
          </w:tcPr>
          <w:p w14:paraId="1562A193" w14:textId="77777777" w:rsidR="00310E38" w:rsidRPr="00F96EBF" w:rsidRDefault="00310E38" w:rsidP="006D08A5">
            <w:pPr>
              <w:keepNext/>
              <w:keepLines/>
              <w:rPr>
                <w:color w:val="000000" w:themeColor="text1"/>
                <w:sz w:val="20"/>
                <w:szCs w:val="20"/>
                <w:lang w:val="en-GB"/>
              </w:rPr>
            </w:pPr>
            <w:r w:rsidRPr="00F96EBF">
              <w:rPr>
                <w:color w:val="000000" w:themeColor="text1"/>
                <w:sz w:val="20"/>
                <w:szCs w:val="20"/>
                <w:lang w:val="en-GB"/>
              </w:rPr>
              <w:t>Proportion of people that complete compulsory secondary education compared to 15-year-old population</w:t>
            </w:r>
          </w:p>
        </w:tc>
      </w:tr>
      <w:tr w:rsidR="00B97B6A" w:rsidRPr="00F96EBF" w14:paraId="1E921E51" w14:textId="77777777" w:rsidTr="001A72F4">
        <w:trPr>
          <w:trHeight w:val="227"/>
          <w:jc w:val="center"/>
        </w:trPr>
        <w:tc>
          <w:tcPr>
            <w:tcW w:w="2689" w:type="dxa"/>
            <w:shd w:val="clear" w:color="000000" w:fill="FFFFFF"/>
            <w:noWrap/>
            <w:vAlign w:val="center"/>
          </w:tcPr>
          <w:p w14:paraId="5C6FD979"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PISA scores</w:t>
            </w:r>
          </w:p>
        </w:tc>
        <w:tc>
          <w:tcPr>
            <w:tcW w:w="6096" w:type="dxa"/>
            <w:shd w:val="clear" w:color="000000" w:fill="FFFFFF"/>
            <w:noWrap/>
            <w:vAlign w:val="center"/>
          </w:tcPr>
          <w:p w14:paraId="49F6DD3C" w14:textId="77777777" w:rsidR="00310E38" w:rsidRPr="00F96EBF" w:rsidRDefault="00310E38" w:rsidP="006D08A5">
            <w:pPr>
              <w:keepNext/>
              <w:keepLines/>
              <w:rPr>
                <w:color w:val="000000" w:themeColor="text1"/>
                <w:sz w:val="20"/>
                <w:szCs w:val="20"/>
                <w:lang w:val="en-GB"/>
              </w:rPr>
            </w:pPr>
            <w:r w:rsidRPr="00F96EBF">
              <w:rPr>
                <w:color w:val="000000" w:themeColor="text1"/>
                <w:sz w:val="20"/>
                <w:szCs w:val="20"/>
                <w:lang w:val="en-GB"/>
              </w:rPr>
              <w:t>Scores of 15-year-old students in reading, maths and science literacy</w:t>
            </w:r>
          </w:p>
        </w:tc>
      </w:tr>
    </w:tbl>
    <w:p w14:paraId="77A47C5B" w14:textId="1D022EF0" w:rsidR="00444FC1" w:rsidRDefault="00F26374" w:rsidP="006D08A5">
      <w:pPr>
        <w:rPr>
          <w:color w:val="000000" w:themeColor="text1"/>
          <w:sz w:val="22"/>
          <w:szCs w:val="22"/>
          <w:lang w:val="en-GB"/>
        </w:rPr>
      </w:pPr>
      <w:r w:rsidRPr="00EA17FE">
        <w:rPr>
          <w:iCs/>
          <w:color w:val="000000" w:themeColor="text1"/>
          <w:sz w:val="22"/>
          <w:szCs w:val="22"/>
          <w:lang w:val="en-GB"/>
        </w:rPr>
        <w:t>Source:</w:t>
      </w:r>
      <w:r w:rsidRPr="00EA17FE">
        <w:rPr>
          <w:i/>
          <w:color w:val="000000" w:themeColor="text1"/>
          <w:sz w:val="22"/>
          <w:szCs w:val="22"/>
          <w:lang w:val="en-GB"/>
        </w:rPr>
        <w:t xml:space="preserve"> </w:t>
      </w:r>
      <w:r w:rsidRPr="00EA17FE">
        <w:rPr>
          <w:color w:val="000000" w:themeColor="text1"/>
          <w:sz w:val="22"/>
          <w:szCs w:val="22"/>
          <w:lang w:val="en-GB"/>
        </w:rPr>
        <w:t xml:space="preserve">Table compiled by authors using definitions from </w:t>
      </w:r>
      <w:proofErr w:type="spellStart"/>
      <w:r w:rsidR="00EA17FE" w:rsidRPr="00EA17FE">
        <w:rPr>
          <w:color w:val="000000" w:themeColor="text1"/>
          <w:sz w:val="22"/>
          <w:szCs w:val="22"/>
          <w:lang w:val="en-GB"/>
        </w:rPr>
        <w:t>Ministerio</w:t>
      </w:r>
      <w:proofErr w:type="spellEnd"/>
      <w:r w:rsidR="00EA17FE" w:rsidRPr="00EA17FE">
        <w:rPr>
          <w:color w:val="000000" w:themeColor="text1"/>
          <w:sz w:val="22"/>
          <w:szCs w:val="22"/>
          <w:lang w:val="en-GB"/>
        </w:rPr>
        <w:t xml:space="preserve"> de </w:t>
      </w:r>
      <w:proofErr w:type="spellStart"/>
      <w:r w:rsidR="00EA17FE" w:rsidRPr="00EA17FE">
        <w:rPr>
          <w:color w:val="000000" w:themeColor="text1"/>
          <w:sz w:val="22"/>
          <w:szCs w:val="22"/>
          <w:lang w:val="en-GB"/>
        </w:rPr>
        <w:t>Educación</w:t>
      </w:r>
      <w:proofErr w:type="spellEnd"/>
      <w:r w:rsidR="007D73CD">
        <w:rPr>
          <w:color w:val="000000" w:themeColor="text1"/>
          <w:sz w:val="22"/>
          <w:szCs w:val="22"/>
          <w:lang w:val="en-GB"/>
        </w:rPr>
        <w:t xml:space="preserve"> y </w:t>
      </w:r>
      <w:proofErr w:type="spellStart"/>
      <w:r w:rsidR="007D73CD">
        <w:rPr>
          <w:color w:val="000000" w:themeColor="text1"/>
          <w:sz w:val="22"/>
          <w:szCs w:val="22"/>
          <w:lang w:val="en-GB"/>
        </w:rPr>
        <w:t>Formación</w:t>
      </w:r>
      <w:proofErr w:type="spellEnd"/>
      <w:r w:rsidR="007D73CD">
        <w:rPr>
          <w:color w:val="000000" w:themeColor="text1"/>
          <w:sz w:val="22"/>
          <w:szCs w:val="22"/>
          <w:lang w:val="en-GB"/>
        </w:rPr>
        <w:t xml:space="preserve"> </w:t>
      </w:r>
      <w:proofErr w:type="spellStart"/>
      <w:r w:rsidR="007D73CD">
        <w:rPr>
          <w:color w:val="000000" w:themeColor="text1"/>
          <w:sz w:val="22"/>
          <w:szCs w:val="22"/>
          <w:lang w:val="en-GB"/>
        </w:rPr>
        <w:t>Profesional</w:t>
      </w:r>
      <w:proofErr w:type="spellEnd"/>
      <w:r w:rsidR="00E22051">
        <w:rPr>
          <w:color w:val="000000" w:themeColor="text1"/>
          <w:sz w:val="22"/>
          <w:szCs w:val="22"/>
          <w:lang w:val="en-GB"/>
        </w:rPr>
        <w:t xml:space="preserve"> (2019)</w:t>
      </w:r>
    </w:p>
    <w:p w14:paraId="1FF26A4F" w14:textId="77777777" w:rsidR="00EA17FE" w:rsidRPr="00EA17FE" w:rsidRDefault="00EA17FE" w:rsidP="006D08A5">
      <w:pPr>
        <w:rPr>
          <w:color w:val="000000" w:themeColor="text1"/>
          <w:sz w:val="22"/>
          <w:szCs w:val="22"/>
          <w:lang w:val="en-GB"/>
        </w:rPr>
      </w:pPr>
    </w:p>
    <w:p w14:paraId="4A31BFE6" w14:textId="77777777" w:rsidR="00444FC1" w:rsidRPr="00444FC1" w:rsidRDefault="00444FC1" w:rsidP="00444FC1">
      <w:pPr>
        <w:keepNext/>
        <w:keepLines/>
        <w:rPr>
          <w:color w:val="000000" w:themeColor="text1"/>
          <w:lang w:val="en-GB"/>
        </w:rPr>
      </w:pPr>
      <w:r w:rsidRPr="00444FC1">
        <w:rPr>
          <w:bCs/>
          <w:color w:val="000000" w:themeColor="text1"/>
          <w:lang w:val="en-GB"/>
        </w:rPr>
        <w:t>Table 2.</w:t>
      </w:r>
      <w:r w:rsidRPr="00444FC1">
        <w:rPr>
          <w:b/>
          <w:color w:val="000000" w:themeColor="text1"/>
          <w:lang w:val="en-GB"/>
        </w:rPr>
        <w:t xml:space="preserve"> </w:t>
      </w:r>
      <w:r w:rsidRPr="00444FC1">
        <w:rPr>
          <w:color w:val="000000" w:themeColor="text1"/>
          <w:lang w:val="en-GB"/>
        </w:rPr>
        <w:t>Results of OLS regression models (dependent variable: Early school leaving rate, 2015*).</w:t>
      </w:r>
    </w:p>
    <w:tbl>
      <w:tblPr>
        <w:tblW w:w="8488" w:type="dxa"/>
        <w:jc w:val="center"/>
        <w:tblCellMar>
          <w:left w:w="70" w:type="dxa"/>
          <w:right w:w="70" w:type="dxa"/>
        </w:tblCellMar>
        <w:tblLook w:val="04A0" w:firstRow="1" w:lastRow="0" w:firstColumn="1" w:lastColumn="0" w:noHBand="0" w:noVBand="1"/>
      </w:tblPr>
      <w:tblGrid>
        <w:gridCol w:w="3408"/>
        <w:gridCol w:w="992"/>
        <w:gridCol w:w="980"/>
        <w:gridCol w:w="980"/>
        <w:gridCol w:w="994"/>
        <w:gridCol w:w="1134"/>
      </w:tblGrid>
      <w:tr w:rsidR="004230F0" w:rsidRPr="00444FC1" w14:paraId="0D24FBDC" w14:textId="77777777" w:rsidTr="009D6BEF">
        <w:trPr>
          <w:trHeight w:val="502"/>
          <w:jc w:val="center"/>
        </w:trPr>
        <w:tc>
          <w:tcPr>
            <w:tcW w:w="4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9BB9A3" w14:textId="77777777" w:rsidR="004230F0" w:rsidRPr="00444FC1" w:rsidRDefault="004230F0" w:rsidP="009D6BEF">
            <w:pPr>
              <w:keepNext/>
              <w:keepLines/>
              <w:rPr>
                <w:b/>
                <w:bCs/>
                <w:color w:val="000000" w:themeColor="text1"/>
                <w:sz w:val="18"/>
                <w:szCs w:val="18"/>
                <w:lang w:val="en-GB"/>
              </w:rPr>
            </w:pPr>
            <w:r w:rsidRPr="00444FC1">
              <w:rPr>
                <w:b/>
                <w:bCs/>
                <w:color w:val="000000" w:themeColor="text1"/>
                <w:sz w:val="18"/>
                <w:szCs w:val="18"/>
                <w:lang w:val="en-GB"/>
              </w:rPr>
              <w:t>Independent variable</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4BBB5880" w14:textId="160D5B6F" w:rsidR="004230F0" w:rsidRPr="00444FC1" w:rsidRDefault="004230F0" w:rsidP="004230F0">
            <w:pPr>
              <w:keepNext/>
              <w:keepLines/>
              <w:rPr>
                <w:b/>
                <w:bCs/>
                <w:color w:val="000000" w:themeColor="text1"/>
                <w:sz w:val="18"/>
                <w:szCs w:val="18"/>
                <w:lang w:val="en-GB"/>
              </w:rPr>
            </w:pPr>
            <w:r>
              <w:rPr>
                <w:b/>
                <w:bCs/>
                <w:color w:val="000000" w:themeColor="text1"/>
                <w:sz w:val="18"/>
                <w:szCs w:val="18"/>
                <w:lang w:val="en-GB"/>
              </w:rPr>
              <w:t>Coefficient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7E2D8F4F" w14:textId="307676E1" w:rsidR="004230F0" w:rsidRPr="00444FC1" w:rsidRDefault="004230F0" w:rsidP="009D6BEF">
            <w:pPr>
              <w:keepNext/>
              <w:keepLines/>
              <w:rPr>
                <w:b/>
                <w:bCs/>
                <w:color w:val="000000" w:themeColor="text1"/>
                <w:sz w:val="18"/>
                <w:szCs w:val="18"/>
                <w:lang w:val="en-GB"/>
              </w:rPr>
            </w:pPr>
            <w:r w:rsidRPr="00444FC1">
              <w:rPr>
                <w:b/>
                <w:bCs/>
                <w:color w:val="000000" w:themeColor="text1"/>
                <w:sz w:val="18"/>
                <w:szCs w:val="18"/>
                <w:lang w:val="en-GB"/>
              </w:rPr>
              <w:t>R-squared</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34DFB586" w14:textId="77777777" w:rsidR="004230F0" w:rsidRPr="00444FC1" w:rsidRDefault="004230F0" w:rsidP="009D6BEF">
            <w:pPr>
              <w:keepNext/>
              <w:keepLines/>
              <w:rPr>
                <w:b/>
                <w:bCs/>
                <w:color w:val="000000" w:themeColor="text1"/>
                <w:sz w:val="18"/>
                <w:szCs w:val="18"/>
                <w:lang w:val="en-GB"/>
              </w:rPr>
            </w:pPr>
            <w:r w:rsidRPr="00444FC1">
              <w:rPr>
                <w:b/>
                <w:bCs/>
                <w:color w:val="000000" w:themeColor="text1"/>
                <w:sz w:val="18"/>
                <w:szCs w:val="18"/>
                <w:lang w:val="en-GB"/>
              </w:rPr>
              <w:t>F-test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397D8" w14:textId="77777777" w:rsidR="004230F0" w:rsidRPr="00444FC1" w:rsidRDefault="004230F0" w:rsidP="009D6BEF">
            <w:pPr>
              <w:keepNext/>
              <w:keepLines/>
              <w:rPr>
                <w:b/>
                <w:bCs/>
                <w:color w:val="000000" w:themeColor="text1"/>
                <w:sz w:val="18"/>
                <w:szCs w:val="18"/>
                <w:lang w:val="en-GB"/>
              </w:rPr>
            </w:pPr>
            <w:r w:rsidRPr="00444FC1">
              <w:rPr>
                <w:b/>
                <w:bCs/>
                <w:color w:val="000000" w:themeColor="text1"/>
                <w:sz w:val="18"/>
                <w:szCs w:val="18"/>
                <w:lang w:val="en-GB"/>
              </w:rPr>
              <w:t>P-value</w:t>
            </w:r>
          </w:p>
        </w:tc>
      </w:tr>
      <w:tr w:rsidR="004230F0" w:rsidRPr="00444FC1" w14:paraId="13CE2A9E" w14:textId="77777777" w:rsidTr="004230F0">
        <w:trPr>
          <w:trHeight w:val="227"/>
          <w:jc w:val="center"/>
        </w:trPr>
        <w:tc>
          <w:tcPr>
            <w:tcW w:w="3408" w:type="dxa"/>
            <w:vMerge w:val="restart"/>
            <w:tcBorders>
              <w:top w:val="single" w:sz="4" w:space="0" w:color="auto"/>
              <w:left w:val="single" w:sz="4" w:space="0" w:color="auto"/>
              <w:right w:val="single" w:sz="4" w:space="0" w:color="auto"/>
            </w:tcBorders>
            <w:shd w:val="clear" w:color="000000" w:fill="FFFFFF"/>
            <w:noWrap/>
            <w:vAlign w:val="center"/>
          </w:tcPr>
          <w:p w14:paraId="5EDED7D9"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School life expectancy at the age of 6 (years), 2002/03 academic year</w:t>
            </w:r>
          </w:p>
        </w:tc>
        <w:tc>
          <w:tcPr>
            <w:tcW w:w="992" w:type="dxa"/>
            <w:tcBorders>
              <w:top w:val="nil"/>
              <w:left w:val="nil"/>
              <w:bottom w:val="single" w:sz="4" w:space="0" w:color="auto"/>
              <w:right w:val="single" w:sz="4" w:space="0" w:color="auto"/>
            </w:tcBorders>
            <w:shd w:val="clear" w:color="000000" w:fill="FFFFFF"/>
            <w:noWrap/>
            <w:vAlign w:val="bottom"/>
          </w:tcPr>
          <w:p w14:paraId="260B9120"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Men</w:t>
            </w:r>
          </w:p>
        </w:tc>
        <w:tc>
          <w:tcPr>
            <w:tcW w:w="980" w:type="dxa"/>
            <w:tcBorders>
              <w:top w:val="single" w:sz="4" w:space="0" w:color="auto"/>
              <w:left w:val="nil"/>
              <w:bottom w:val="single" w:sz="4" w:space="0" w:color="auto"/>
              <w:right w:val="single" w:sz="4" w:space="0" w:color="auto"/>
            </w:tcBorders>
            <w:shd w:val="clear" w:color="000000" w:fill="FFFFFF"/>
          </w:tcPr>
          <w:p w14:paraId="241405C1" w14:textId="41187FEB" w:rsidR="004230F0" w:rsidRPr="00444FC1" w:rsidRDefault="00094B25" w:rsidP="009D6BEF">
            <w:pPr>
              <w:keepNext/>
              <w:keepLines/>
              <w:rPr>
                <w:color w:val="000000" w:themeColor="text1"/>
                <w:sz w:val="20"/>
                <w:szCs w:val="20"/>
                <w:lang w:val="en-GB"/>
              </w:rPr>
            </w:pPr>
            <w:r>
              <w:rPr>
                <w:color w:val="000000" w:themeColor="text1"/>
                <w:sz w:val="20"/>
                <w:szCs w:val="20"/>
                <w:lang w:val="en-GB"/>
              </w:rPr>
              <w:t>-6.551268</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24CB44AE" w14:textId="6D3EFA44"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0.4797</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251688B3"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870B6C"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0.001</w:t>
            </w:r>
          </w:p>
        </w:tc>
      </w:tr>
      <w:tr w:rsidR="004230F0" w:rsidRPr="00444FC1" w14:paraId="6A04B332" w14:textId="77777777" w:rsidTr="004230F0">
        <w:trPr>
          <w:trHeight w:val="227"/>
          <w:jc w:val="center"/>
        </w:trPr>
        <w:tc>
          <w:tcPr>
            <w:tcW w:w="3408" w:type="dxa"/>
            <w:vMerge/>
            <w:tcBorders>
              <w:left w:val="single" w:sz="4" w:space="0" w:color="auto"/>
              <w:bottom w:val="single" w:sz="4" w:space="0" w:color="auto"/>
              <w:right w:val="single" w:sz="4" w:space="0" w:color="auto"/>
            </w:tcBorders>
            <w:shd w:val="clear" w:color="000000" w:fill="FFFFFF"/>
            <w:noWrap/>
            <w:vAlign w:val="bottom"/>
          </w:tcPr>
          <w:p w14:paraId="6745B6F4" w14:textId="77777777" w:rsidR="004230F0" w:rsidRPr="00444FC1" w:rsidRDefault="004230F0" w:rsidP="009D6BEF">
            <w:pPr>
              <w:keepNext/>
              <w:keepLines/>
              <w:rPr>
                <w:color w:val="000000" w:themeColor="text1"/>
                <w:sz w:val="20"/>
                <w:szCs w:val="20"/>
                <w:lang w:val="en-GB"/>
              </w:rPr>
            </w:pPr>
          </w:p>
        </w:tc>
        <w:tc>
          <w:tcPr>
            <w:tcW w:w="992" w:type="dxa"/>
            <w:tcBorders>
              <w:top w:val="nil"/>
              <w:left w:val="nil"/>
              <w:bottom w:val="single" w:sz="4" w:space="0" w:color="auto"/>
              <w:right w:val="single" w:sz="4" w:space="0" w:color="auto"/>
            </w:tcBorders>
            <w:shd w:val="clear" w:color="000000" w:fill="FFFFFF"/>
            <w:noWrap/>
            <w:vAlign w:val="bottom"/>
          </w:tcPr>
          <w:p w14:paraId="78889A62"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Women</w:t>
            </w:r>
          </w:p>
        </w:tc>
        <w:tc>
          <w:tcPr>
            <w:tcW w:w="980" w:type="dxa"/>
            <w:tcBorders>
              <w:top w:val="single" w:sz="4" w:space="0" w:color="auto"/>
              <w:left w:val="nil"/>
              <w:bottom w:val="single" w:sz="4" w:space="0" w:color="auto"/>
              <w:right w:val="single" w:sz="4" w:space="0" w:color="auto"/>
            </w:tcBorders>
            <w:shd w:val="clear" w:color="000000" w:fill="FFFFFF"/>
          </w:tcPr>
          <w:p w14:paraId="013EB4C0" w14:textId="4EDAB789" w:rsidR="004230F0" w:rsidRPr="00444FC1" w:rsidRDefault="00C13E11" w:rsidP="009D6BEF">
            <w:pPr>
              <w:keepNext/>
              <w:keepLines/>
              <w:rPr>
                <w:color w:val="000000" w:themeColor="text1"/>
                <w:sz w:val="20"/>
                <w:szCs w:val="20"/>
                <w:lang w:val="en-GB"/>
              </w:rPr>
            </w:pPr>
            <w:r>
              <w:rPr>
                <w:color w:val="000000" w:themeColor="text1"/>
                <w:sz w:val="20"/>
                <w:szCs w:val="20"/>
                <w:lang w:val="en-GB"/>
              </w:rPr>
              <w:t>-3.452361</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2B97A973" w14:textId="2F2D8B1D"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0.2572</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744C6063"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0.0219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1ABE56"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0.022</w:t>
            </w:r>
          </w:p>
        </w:tc>
      </w:tr>
      <w:tr w:rsidR="004230F0" w:rsidRPr="00444FC1" w14:paraId="0D85048E" w14:textId="77777777" w:rsidTr="004230F0">
        <w:trPr>
          <w:trHeight w:val="227"/>
          <w:jc w:val="center"/>
        </w:trPr>
        <w:tc>
          <w:tcPr>
            <w:tcW w:w="3408" w:type="dxa"/>
            <w:vMerge w:val="restart"/>
            <w:tcBorders>
              <w:top w:val="single" w:sz="4" w:space="0" w:color="auto"/>
              <w:left w:val="single" w:sz="4" w:space="0" w:color="auto"/>
              <w:right w:val="single" w:sz="4" w:space="0" w:color="auto"/>
            </w:tcBorders>
            <w:shd w:val="clear" w:color="000000" w:fill="FFFFFF"/>
            <w:noWrap/>
            <w:vAlign w:val="center"/>
          </w:tcPr>
          <w:p w14:paraId="515B69B8"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Suitability rates (%), 2011/12 academic year</w:t>
            </w:r>
          </w:p>
        </w:tc>
        <w:tc>
          <w:tcPr>
            <w:tcW w:w="992" w:type="dxa"/>
            <w:tcBorders>
              <w:top w:val="nil"/>
              <w:left w:val="nil"/>
              <w:bottom w:val="single" w:sz="4" w:space="0" w:color="auto"/>
              <w:right w:val="single" w:sz="4" w:space="0" w:color="auto"/>
            </w:tcBorders>
            <w:shd w:val="clear" w:color="000000" w:fill="FFFFFF"/>
            <w:noWrap/>
            <w:vAlign w:val="bottom"/>
          </w:tcPr>
          <w:p w14:paraId="3AF3888B"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Men</w:t>
            </w:r>
          </w:p>
        </w:tc>
        <w:tc>
          <w:tcPr>
            <w:tcW w:w="980" w:type="dxa"/>
            <w:tcBorders>
              <w:top w:val="single" w:sz="4" w:space="0" w:color="auto"/>
              <w:left w:val="nil"/>
              <w:bottom w:val="single" w:sz="4" w:space="0" w:color="auto"/>
              <w:right w:val="single" w:sz="4" w:space="0" w:color="auto"/>
            </w:tcBorders>
            <w:shd w:val="clear" w:color="000000" w:fill="FFFFFF"/>
          </w:tcPr>
          <w:p w14:paraId="32024E55" w14:textId="57B8703F" w:rsidR="004230F0" w:rsidRPr="00444FC1" w:rsidRDefault="00C13E11" w:rsidP="009D6BEF">
            <w:pPr>
              <w:keepNext/>
              <w:keepLines/>
              <w:rPr>
                <w:color w:val="000000" w:themeColor="text1"/>
                <w:sz w:val="20"/>
                <w:szCs w:val="20"/>
                <w:lang w:val="en-GB"/>
              </w:rPr>
            </w:pPr>
            <w:r>
              <w:rPr>
                <w:color w:val="000000" w:themeColor="text1"/>
                <w:sz w:val="20"/>
                <w:szCs w:val="20"/>
                <w:lang w:val="en-GB"/>
              </w:rPr>
              <w:t>-0.828312</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2BCA0806" w14:textId="5DA8DBBA"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0.5656</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00A2AB9F"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0.0003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E9347"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0.000</w:t>
            </w:r>
          </w:p>
        </w:tc>
      </w:tr>
      <w:tr w:rsidR="004230F0" w:rsidRPr="00444FC1" w14:paraId="7E2D405C" w14:textId="77777777" w:rsidTr="004230F0">
        <w:trPr>
          <w:trHeight w:val="227"/>
          <w:jc w:val="center"/>
        </w:trPr>
        <w:tc>
          <w:tcPr>
            <w:tcW w:w="3408" w:type="dxa"/>
            <w:vMerge/>
            <w:tcBorders>
              <w:left w:val="single" w:sz="4" w:space="0" w:color="auto"/>
              <w:bottom w:val="single" w:sz="4" w:space="0" w:color="auto"/>
              <w:right w:val="single" w:sz="4" w:space="0" w:color="auto"/>
            </w:tcBorders>
            <w:shd w:val="clear" w:color="000000" w:fill="FFFFFF"/>
            <w:noWrap/>
            <w:vAlign w:val="center"/>
          </w:tcPr>
          <w:p w14:paraId="430C810B" w14:textId="77777777" w:rsidR="004230F0" w:rsidRPr="00444FC1" w:rsidRDefault="004230F0" w:rsidP="009D6BEF">
            <w:pPr>
              <w:keepNext/>
              <w:keepLines/>
              <w:rPr>
                <w:color w:val="000000" w:themeColor="text1"/>
                <w:sz w:val="20"/>
                <w:szCs w:val="20"/>
                <w:lang w:val="en-GB"/>
              </w:rPr>
            </w:pPr>
          </w:p>
        </w:tc>
        <w:tc>
          <w:tcPr>
            <w:tcW w:w="992" w:type="dxa"/>
            <w:tcBorders>
              <w:top w:val="nil"/>
              <w:left w:val="nil"/>
              <w:bottom w:val="single" w:sz="4" w:space="0" w:color="auto"/>
              <w:right w:val="single" w:sz="4" w:space="0" w:color="auto"/>
            </w:tcBorders>
            <w:shd w:val="clear" w:color="000000" w:fill="FFFFFF"/>
            <w:noWrap/>
            <w:vAlign w:val="bottom"/>
          </w:tcPr>
          <w:p w14:paraId="51BF6B72"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Women</w:t>
            </w:r>
          </w:p>
        </w:tc>
        <w:tc>
          <w:tcPr>
            <w:tcW w:w="980" w:type="dxa"/>
            <w:tcBorders>
              <w:top w:val="single" w:sz="4" w:space="0" w:color="auto"/>
              <w:left w:val="nil"/>
              <w:bottom w:val="single" w:sz="4" w:space="0" w:color="auto"/>
              <w:right w:val="single" w:sz="4" w:space="0" w:color="auto"/>
            </w:tcBorders>
            <w:shd w:val="clear" w:color="000000" w:fill="FFFFFF"/>
          </w:tcPr>
          <w:p w14:paraId="65DE65E4" w14:textId="29B5E148" w:rsidR="004230F0" w:rsidRPr="00444FC1" w:rsidRDefault="00C13E11" w:rsidP="009D6BEF">
            <w:pPr>
              <w:keepNext/>
              <w:keepLines/>
              <w:rPr>
                <w:color w:val="000000" w:themeColor="text1"/>
                <w:sz w:val="20"/>
                <w:szCs w:val="20"/>
                <w:lang w:val="en-GB"/>
              </w:rPr>
            </w:pPr>
            <w:r>
              <w:rPr>
                <w:color w:val="000000" w:themeColor="text1"/>
                <w:sz w:val="20"/>
                <w:szCs w:val="20"/>
                <w:lang w:val="en-GB"/>
              </w:rPr>
              <w:t>-0,502424</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3789D632" w14:textId="1D83D711"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0.3297</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3DEB1794"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0.0094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F45351"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0.009</w:t>
            </w:r>
          </w:p>
        </w:tc>
      </w:tr>
      <w:tr w:rsidR="004230F0" w:rsidRPr="00444FC1" w14:paraId="15D9A9FF" w14:textId="77777777" w:rsidTr="004230F0">
        <w:trPr>
          <w:trHeight w:val="227"/>
          <w:jc w:val="center"/>
        </w:trPr>
        <w:tc>
          <w:tcPr>
            <w:tcW w:w="3408" w:type="dxa"/>
            <w:vMerge w:val="restart"/>
            <w:tcBorders>
              <w:top w:val="single" w:sz="4" w:space="0" w:color="auto"/>
              <w:left w:val="single" w:sz="4" w:space="0" w:color="auto"/>
              <w:right w:val="single" w:sz="4" w:space="0" w:color="auto"/>
            </w:tcBorders>
            <w:shd w:val="clear" w:color="000000" w:fill="FFFFFF"/>
            <w:noWrap/>
            <w:vAlign w:val="center"/>
          </w:tcPr>
          <w:p w14:paraId="290B0608"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Graduation rate in ESO (%), 2011/12 academic year</w:t>
            </w:r>
          </w:p>
        </w:tc>
        <w:tc>
          <w:tcPr>
            <w:tcW w:w="992" w:type="dxa"/>
            <w:tcBorders>
              <w:top w:val="nil"/>
              <w:left w:val="nil"/>
              <w:bottom w:val="single" w:sz="4" w:space="0" w:color="auto"/>
              <w:right w:val="single" w:sz="4" w:space="0" w:color="auto"/>
            </w:tcBorders>
            <w:shd w:val="clear" w:color="000000" w:fill="FFFFFF"/>
            <w:noWrap/>
            <w:vAlign w:val="bottom"/>
          </w:tcPr>
          <w:p w14:paraId="26F31715"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Men</w:t>
            </w:r>
          </w:p>
        </w:tc>
        <w:tc>
          <w:tcPr>
            <w:tcW w:w="980" w:type="dxa"/>
            <w:tcBorders>
              <w:top w:val="single" w:sz="4" w:space="0" w:color="auto"/>
              <w:left w:val="nil"/>
              <w:bottom w:val="single" w:sz="4" w:space="0" w:color="auto"/>
              <w:right w:val="single" w:sz="4" w:space="0" w:color="auto"/>
            </w:tcBorders>
            <w:shd w:val="clear" w:color="000000" w:fill="FFFFFF"/>
          </w:tcPr>
          <w:p w14:paraId="7D321097" w14:textId="616E0AD2" w:rsidR="004230F0" w:rsidRPr="00444FC1" w:rsidRDefault="00C13E11" w:rsidP="009D6BEF">
            <w:pPr>
              <w:keepNext/>
              <w:keepLines/>
              <w:rPr>
                <w:color w:val="000000" w:themeColor="text1"/>
                <w:sz w:val="20"/>
                <w:szCs w:val="20"/>
                <w:lang w:val="en-GB"/>
              </w:rPr>
            </w:pPr>
            <w:r>
              <w:rPr>
                <w:color w:val="000000" w:themeColor="text1"/>
                <w:sz w:val="20"/>
                <w:szCs w:val="20"/>
                <w:lang w:val="en-GB"/>
              </w:rPr>
              <w:t>-0.680386</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56C9409E" w14:textId="1FF7B6F1"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0.4272</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01C0CBE3"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0.0026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5A78D0"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0.003</w:t>
            </w:r>
          </w:p>
        </w:tc>
      </w:tr>
      <w:tr w:rsidR="004230F0" w:rsidRPr="00444FC1" w14:paraId="7F00D76B" w14:textId="77777777" w:rsidTr="004230F0">
        <w:trPr>
          <w:trHeight w:val="227"/>
          <w:jc w:val="center"/>
        </w:trPr>
        <w:tc>
          <w:tcPr>
            <w:tcW w:w="3408" w:type="dxa"/>
            <w:vMerge/>
            <w:tcBorders>
              <w:left w:val="single" w:sz="4" w:space="0" w:color="auto"/>
              <w:bottom w:val="single" w:sz="4" w:space="0" w:color="auto"/>
              <w:right w:val="single" w:sz="4" w:space="0" w:color="auto"/>
            </w:tcBorders>
            <w:shd w:val="clear" w:color="000000" w:fill="FFFFFF"/>
            <w:noWrap/>
            <w:vAlign w:val="center"/>
          </w:tcPr>
          <w:p w14:paraId="5A5B4B5D" w14:textId="77777777" w:rsidR="004230F0" w:rsidRPr="00444FC1" w:rsidRDefault="004230F0" w:rsidP="009D6BEF">
            <w:pPr>
              <w:keepNext/>
              <w:keepLines/>
              <w:rPr>
                <w:color w:val="000000" w:themeColor="text1"/>
                <w:sz w:val="20"/>
                <w:szCs w:val="20"/>
                <w:lang w:val="en-GB"/>
              </w:rPr>
            </w:pPr>
          </w:p>
        </w:tc>
        <w:tc>
          <w:tcPr>
            <w:tcW w:w="992" w:type="dxa"/>
            <w:tcBorders>
              <w:top w:val="nil"/>
              <w:left w:val="nil"/>
              <w:bottom w:val="single" w:sz="4" w:space="0" w:color="auto"/>
              <w:right w:val="single" w:sz="4" w:space="0" w:color="auto"/>
            </w:tcBorders>
            <w:shd w:val="clear" w:color="000000" w:fill="FFFFFF"/>
            <w:noWrap/>
            <w:vAlign w:val="bottom"/>
          </w:tcPr>
          <w:p w14:paraId="7B6723AC"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Women</w:t>
            </w:r>
          </w:p>
        </w:tc>
        <w:tc>
          <w:tcPr>
            <w:tcW w:w="980" w:type="dxa"/>
            <w:tcBorders>
              <w:top w:val="single" w:sz="4" w:space="0" w:color="auto"/>
              <w:left w:val="nil"/>
              <w:bottom w:val="single" w:sz="4" w:space="0" w:color="auto"/>
              <w:right w:val="single" w:sz="4" w:space="0" w:color="auto"/>
            </w:tcBorders>
            <w:shd w:val="clear" w:color="000000" w:fill="FFFFFF"/>
          </w:tcPr>
          <w:p w14:paraId="73F3B389" w14:textId="4213BCAB" w:rsidR="004230F0" w:rsidRPr="00444FC1" w:rsidRDefault="00C13E11" w:rsidP="009D6BEF">
            <w:pPr>
              <w:keepNext/>
              <w:keepLines/>
              <w:rPr>
                <w:color w:val="000000" w:themeColor="text1"/>
                <w:sz w:val="20"/>
                <w:szCs w:val="20"/>
                <w:lang w:val="en-GB"/>
              </w:rPr>
            </w:pPr>
            <w:r>
              <w:rPr>
                <w:color w:val="000000" w:themeColor="text1"/>
                <w:sz w:val="20"/>
                <w:szCs w:val="20"/>
                <w:lang w:val="en-GB"/>
              </w:rPr>
              <w:t>-0.47646</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3ED0651C" w14:textId="04B37748"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0.2373</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5BC3C51A"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0.0273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6D5FCC"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0.027</w:t>
            </w:r>
          </w:p>
        </w:tc>
      </w:tr>
      <w:tr w:rsidR="004230F0" w:rsidRPr="00444FC1" w14:paraId="260F249A" w14:textId="77777777" w:rsidTr="004230F0">
        <w:trPr>
          <w:trHeight w:val="227"/>
          <w:jc w:val="center"/>
        </w:trPr>
        <w:tc>
          <w:tcPr>
            <w:tcW w:w="3408" w:type="dxa"/>
            <w:vMerge w:val="restart"/>
            <w:tcBorders>
              <w:top w:val="single" w:sz="4" w:space="0" w:color="auto"/>
              <w:left w:val="single" w:sz="4" w:space="0" w:color="auto"/>
              <w:right w:val="single" w:sz="4" w:space="0" w:color="auto"/>
            </w:tcBorders>
            <w:shd w:val="clear" w:color="000000" w:fill="FFFFFF"/>
            <w:noWrap/>
            <w:vAlign w:val="center"/>
          </w:tcPr>
          <w:p w14:paraId="5E551A8F"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Average of PISA scores, 2015</w:t>
            </w:r>
          </w:p>
        </w:tc>
        <w:tc>
          <w:tcPr>
            <w:tcW w:w="992" w:type="dxa"/>
            <w:tcBorders>
              <w:top w:val="nil"/>
              <w:left w:val="nil"/>
              <w:bottom w:val="single" w:sz="4" w:space="0" w:color="auto"/>
              <w:right w:val="single" w:sz="4" w:space="0" w:color="auto"/>
            </w:tcBorders>
            <w:shd w:val="clear" w:color="000000" w:fill="FFFFFF"/>
            <w:noWrap/>
            <w:vAlign w:val="bottom"/>
          </w:tcPr>
          <w:p w14:paraId="01E8BA8B"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Men</w:t>
            </w:r>
          </w:p>
        </w:tc>
        <w:tc>
          <w:tcPr>
            <w:tcW w:w="980" w:type="dxa"/>
            <w:tcBorders>
              <w:top w:val="single" w:sz="4" w:space="0" w:color="auto"/>
              <w:left w:val="nil"/>
              <w:bottom w:val="single" w:sz="4" w:space="0" w:color="auto"/>
              <w:right w:val="single" w:sz="4" w:space="0" w:color="auto"/>
            </w:tcBorders>
            <w:shd w:val="clear" w:color="000000" w:fill="FFFFFF"/>
          </w:tcPr>
          <w:p w14:paraId="6FA9FDA7" w14:textId="649A697A" w:rsidR="004230F0" w:rsidRPr="00444FC1" w:rsidRDefault="00C13E11" w:rsidP="009D6BEF">
            <w:pPr>
              <w:keepNext/>
              <w:keepLines/>
              <w:rPr>
                <w:color w:val="000000" w:themeColor="text1"/>
                <w:sz w:val="20"/>
                <w:szCs w:val="20"/>
                <w:lang w:val="en-GB"/>
              </w:rPr>
            </w:pPr>
            <w:r>
              <w:rPr>
                <w:color w:val="000000" w:themeColor="text1"/>
                <w:sz w:val="20"/>
                <w:szCs w:val="20"/>
                <w:lang w:val="en-GB"/>
              </w:rPr>
              <w:t>-0.203606</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58490AC3" w14:textId="673B7951"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0.1841</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052EB163"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0.0485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57E593"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0.049</w:t>
            </w:r>
          </w:p>
        </w:tc>
      </w:tr>
      <w:tr w:rsidR="004230F0" w:rsidRPr="00444FC1" w14:paraId="4F301624" w14:textId="77777777" w:rsidTr="004230F0">
        <w:trPr>
          <w:trHeight w:val="227"/>
          <w:jc w:val="center"/>
        </w:trPr>
        <w:tc>
          <w:tcPr>
            <w:tcW w:w="3408" w:type="dxa"/>
            <w:vMerge/>
            <w:tcBorders>
              <w:left w:val="single" w:sz="4" w:space="0" w:color="auto"/>
              <w:bottom w:val="single" w:sz="4" w:space="0" w:color="auto"/>
              <w:right w:val="single" w:sz="4" w:space="0" w:color="auto"/>
            </w:tcBorders>
            <w:shd w:val="clear" w:color="000000" w:fill="FFFFFF"/>
            <w:noWrap/>
            <w:vAlign w:val="center"/>
          </w:tcPr>
          <w:p w14:paraId="2DFBE683" w14:textId="77777777" w:rsidR="004230F0" w:rsidRPr="00444FC1" w:rsidRDefault="004230F0" w:rsidP="009D6BEF">
            <w:pPr>
              <w:keepNext/>
              <w:keepLines/>
              <w:rPr>
                <w:color w:val="000000" w:themeColor="text1"/>
                <w:sz w:val="20"/>
                <w:szCs w:val="20"/>
                <w:lang w:val="en-GB"/>
              </w:rPr>
            </w:pPr>
          </w:p>
        </w:tc>
        <w:tc>
          <w:tcPr>
            <w:tcW w:w="992" w:type="dxa"/>
            <w:tcBorders>
              <w:top w:val="nil"/>
              <w:left w:val="nil"/>
              <w:bottom w:val="single" w:sz="4" w:space="0" w:color="auto"/>
              <w:right w:val="single" w:sz="4" w:space="0" w:color="auto"/>
            </w:tcBorders>
            <w:shd w:val="clear" w:color="000000" w:fill="FFFFFF"/>
            <w:noWrap/>
            <w:vAlign w:val="bottom"/>
          </w:tcPr>
          <w:p w14:paraId="33C6FCC4"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Women</w:t>
            </w:r>
          </w:p>
        </w:tc>
        <w:tc>
          <w:tcPr>
            <w:tcW w:w="980" w:type="dxa"/>
            <w:tcBorders>
              <w:top w:val="single" w:sz="4" w:space="0" w:color="auto"/>
              <w:left w:val="nil"/>
              <w:bottom w:val="single" w:sz="4" w:space="0" w:color="auto"/>
              <w:right w:val="single" w:sz="4" w:space="0" w:color="auto"/>
            </w:tcBorders>
            <w:shd w:val="clear" w:color="000000" w:fill="FFFFFF"/>
          </w:tcPr>
          <w:p w14:paraId="08AAD7CC" w14:textId="6CF56A9A" w:rsidR="004230F0" w:rsidRPr="00444FC1" w:rsidRDefault="00C13E11" w:rsidP="009D6BEF">
            <w:pPr>
              <w:keepNext/>
              <w:keepLines/>
              <w:rPr>
                <w:color w:val="000000" w:themeColor="text1"/>
                <w:sz w:val="20"/>
                <w:szCs w:val="20"/>
                <w:lang w:val="en-GB"/>
              </w:rPr>
            </w:pPr>
            <w:r>
              <w:rPr>
                <w:color w:val="000000" w:themeColor="text1"/>
                <w:sz w:val="20"/>
                <w:szCs w:val="20"/>
                <w:lang w:val="en-GB"/>
              </w:rPr>
              <w:t>-0.144066</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bottom"/>
          </w:tcPr>
          <w:p w14:paraId="73DBC87C" w14:textId="6774D8B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0.1416</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bottom"/>
          </w:tcPr>
          <w:p w14:paraId="51A742B8"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0.0757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B7687C" w14:textId="77777777" w:rsidR="004230F0" w:rsidRPr="00444FC1" w:rsidRDefault="004230F0" w:rsidP="009D6BEF">
            <w:pPr>
              <w:keepNext/>
              <w:keepLines/>
              <w:rPr>
                <w:color w:val="000000" w:themeColor="text1"/>
                <w:sz w:val="20"/>
                <w:szCs w:val="20"/>
                <w:lang w:val="en-GB"/>
              </w:rPr>
            </w:pPr>
            <w:r w:rsidRPr="00444FC1">
              <w:rPr>
                <w:color w:val="000000" w:themeColor="text1"/>
                <w:sz w:val="20"/>
                <w:szCs w:val="20"/>
                <w:lang w:val="en-GB"/>
              </w:rPr>
              <w:t>0.076</w:t>
            </w:r>
          </w:p>
        </w:tc>
      </w:tr>
    </w:tbl>
    <w:p w14:paraId="02CE4CA8" w14:textId="77777777" w:rsidR="00444FC1" w:rsidRPr="00444FC1" w:rsidRDefault="00444FC1" w:rsidP="00444FC1">
      <w:pPr>
        <w:rPr>
          <w:color w:val="000000" w:themeColor="text1"/>
          <w:sz w:val="22"/>
          <w:szCs w:val="22"/>
          <w:lang w:val="en-GB"/>
        </w:rPr>
      </w:pPr>
      <w:r w:rsidRPr="00444FC1">
        <w:rPr>
          <w:color w:val="000000" w:themeColor="text1"/>
          <w:sz w:val="22"/>
          <w:szCs w:val="22"/>
          <w:lang w:val="en-GB"/>
        </w:rPr>
        <w:t xml:space="preserve">*Note: In the case of the variable “Average of PISA scores, 2015” we used the year 2017 instead of 2015 for the dependent variable </w:t>
      </w:r>
      <w:proofErr w:type="gramStart"/>
      <w:r w:rsidRPr="00444FC1">
        <w:rPr>
          <w:color w:val="000000" w:themeColor="text1"/>
          <w:sz w:val="22"/>
          <w:szCs w:val="22"/>
          <w:lang w:val="en-GB"/>
        </w:rPr>
        <w:t>in order to</w:t>
      </w:r>
      <w:proofErr w:type="gramEnd"/>
      <w:r w:rsidRPr="00444FC1">
        <w:rPr>
          <w:color w:val="000000" w:themeColor="text1"/>
          <w:sz w:val="22"/>
          <w:szCs w:val="22"/>
          <w:lang w:val="en-GB"/>
        </w:rPr>
        <w:t xml:space="preserve"> </w:t>
      </w:r>
      <w:proofErr w:type="gramStart"/>
      <w:r w:rsidRPr="00444FC1">
        <w:rPr>
          <w:color w:val="000000" w:themeColor="text1"/>
          <w:sz w:val="22"/>
          <w:szCs w:val="22"/>
          <w:lang w:val="en-GB"/>
        </w:rPr>
        <w:t>take into account</w:t>
      </w:r>
      <w:proofErr w:type="gramEnd"/>
      <w:r w:rsidRPr="00444FC1">
        <w:rPr>
          <w:color w:val="000000" w:themeColor="text1"/>
          <w:sz w:val="22"/>
          <w:szCs w:val="22"/>
          <w:lang w:val="en-GB"/>
        </w:rPr>
        <w:t xml:space="preserve"> the age and the year when the PISA test was carried out.</w:t>
      </w:r>
    </w:p>
    <w:p w14:paraId="7C43A584" w14:textId="77777777" w:rsidR="00444FC1" w:rsidRPr="00F96EBF" w:rsidRDefault="00444FC1" w:rsidP="006D08A5">
      <w:pPr>
        <w:rPr>
          <w:color w:val="000000" w:themeColor="text1"/>
          <w:sz w:val="22"/>
          <w:szCs w:val="22"/>
          <w:lang w:val="en-GB"/>
        </w:rPr>
      </w:pPr>
    </w:p>
    <w:p w14:paraId="66BEB13E" w14:textId="10B61B82" w:rsidR="00310E38" w:rsidRDefault="00310E38" w:rsidP="006D08A5">
      <w:pPr>
        <w:keepNext/>
        <w:rPr>
          <w:b/>
          <w:color w:val="000000" w:themeColor="text1"/>
          <w:lang w:val="en-GB"/>
        </w:rPr>
      </w:pPr>
    </w:p>
    <w:p w14:paraId="354A0412" w14:textId="77777777" w:rsidR="00FA1175" w:rsidRPr="00F96EBF" w:rsidRDefault="00FA1175" w:rsidP="006D08A5">
      <w:pPr>
        <w:keepNext/>
        <w:rPr>
          <w:b/>
          <w:color w:val="000000" w:themeColor="text1"/>
          <w:lang w:val="en-GB"/>
        </w:rPr>
      </w:pPr>
    </w:p>
    <w:p w14:paraId="6B43C541" w14:textId="4CD3BD6D" w:rsidR="00310E38" w:rsidRPr="00F96EBF" w:rsidRDefault="00310E38" w:rsidP="006D08A5">
      <w:pPr>
        <w:keepNext/>
        <w:keepLines/>
        <w:rPr>
          <w:color w:val="000000" w:themeColor="text1"/>
          <w:lang w:val="en-GB"/>
        </w:rPr>
      </w:pPr>
      <w:bookmarkStart w:id="7" w:name="_Hlk2489209"/>
      <w:r w:rsidRPr="00813E8F">
        <w:rPr>
          <w:bCs/>
          <w:color w:val="000000" w:themeColor="text1"/>
          <w:lang w:val="en-GB"/>
        </w:rPr>
        <w:t xml:space="preserve">Table </w:t>
      </w:r>
      <w:r w:rsidR="00444FC1">
        <w:rPr>
          <w:bCs/>
          <w:color w:val="000000" w:themeColor="text1"/>
          <w:lang w:val="en-GB"/>
        </w:rPr>
        <w:t>3</w:t>
      </w:r>
      <w:r w:rsidRPr="00813E8F">
        <w:rPr>
          <w:bCs/>
          <w:color w:val="000000" w:themeColor="text1"/>
          <w:lang w:val="en-GB"/>
        </w:rPr>
        <w:t>.</w:t>
      </w:r>
      <w:r w:rsidRPr="00813E8F">
        <w:rPr>
          <w:b/>
          <w:color w:val="000000" w:themeColor="text1"/>
          <w:lang w:val="en-GB"/>
        </w:rPr>
        <w:t xml:space="preserve"> </w:t>
      </w:r>
      <w:r w:rsidRPr="00F96EBF">
        <w:rPr>
          <w:color w:val="000000" w:themeColor="text1"/>
          <w:lang w:val="en-GB"/>
        </w:rPr>
        <w:t>School life expectancy at the age of six by region (number of years)</w:t>
      </w:r>
    </w:p>
    <w:bookmarkEnd w:id="7"/>
    <w:tbl>
      <w:tblPr>
        <w:tblW w:w="7513" w:type="dxa"/>
        <w:jc w:val="center"/>
        <w:tblCellMar>
          <w:left w:w="70" w:type="dxa"/>
          <w:right w:w="70" w:type="dxa"/>
        </w:tblCellMar>
        <w:tblLook w:val="04A0" w:firstRow="1" w:lastRow="0" w:firstColumn="1" w:lastColumn="0" w:noHBand="0" w:noVBand="1"/>
      </w:tblPr>
      <w:tblGrid>
        <w:gridCol w:w="2000"/>
        <w:gridCol w:w="835"/>
        <w:gridCol w:w="850"/>
        <w:gridCol w:w="860"/>
        <w:gridCol w:w="860"/>
        <w:gridCol w:w="860"/>
        <w:gridCol w:w="1248"/>
      </w:tblGrid>
      <w:tr w:rsidR="00B97B6A" w:rsidRPr="00F96EBF" w14:paraId="11DB4EDD" w14:textId="77777777" w:rsidTr="001A72F4">
        <w:trPr>
          <w:trHeight w:val="502"/>
          <w:jc w:val="center"/>
        </w:trPr>
        <w:tc>
          <w:tcPr>
            <w:tcW w:w="2000" w:type="dxa"/>
            <w:tcBorders>
              <w:top w:val="nil"/>
              <w:left w:val="nil"/>
              <w:bottom w:val="nil"/>
              <w:right w:val="nil"/>
            </w:tcBorders>
            <w:noWrap/>
            <w:vAlign w:val="bottom"/>
            <w:hideMark/>
          </w:tcPr>
          <w:p w14:paraId="21F33F4F" w14:textId="77777777" w:rsidR="00310E38" w:rsidRPr="00F96EBF" w:rsidRDefault="00310E38" w:rsidP="006D08A5">
            <w:pPr>
              <w:keepNext/>
              <w:keepLines/>
              <w:rPr>
                <w:color w:val="000000" w:themeColor="text1"/>
                <w:lang w:val="en-GB"/>
              </w:rPr>
            </w:pPr>
          </w:p>
        </w:tc>
        <w:tc>
          <w:tcPr>
            <w:tcW w:w="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0745F"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D1C9A"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2014/15</w:t>
            </w:r>
          </w:p>
        </w:tc>
        <w:tc>
          <w:tcPr>
            <w:tcW w:w="2580" w:type="dxa"/>
            <w:gridSpan w:val="3"/>
            <w:tcBorders>
              <w:top w:val="single" w:sz="4" w:space="0" w:color="auto"/>
              <w:left w:val="nil"/>
              <w:bottom w:val="single" w:sz="4" w:space="0" w:color="auto"/>
              <w:right w:val="single" w:sz="4" w:space="0" w:color="auto"/>
            </w:tcBorders>
            <w:shd w:val="clear" w:color="000000" w:fill="FFFFFF"/>
            <w:vAlign w:val="center"/>
            <w:hideMark/>
          </w:tcPr>
          <w:p w14:paraId="2D0F33B6"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Cumulative average annual growth rate</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3F98F2"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Interregional difference (Spain=100)</w:t>
            </w:r>
          </w:p>
        </w:tc>
      </w:tr>
      <w:tr w:rsidR="00B97B6A" w:rsidRPr="00F96EBF" w14:paraId="270CF568" w14:textId="77777777" w:rsidTr="001A72F4">
        <w:trPr>
          <w:trHeight w:val="446"/>
          <w:jc w:val="center"/>
        </w:trPr>
        <w:tc>
          <w:tcPr>
            <w:tcW w:w="2000" w:type="dxa"/>
            <w:tcBorders>
              <w:top w:val="nil"/>
              <w:left w:val="nil"/>
              <w:bottom w:val="nil"/>
              <w:right w:val="nil"/>
            </w:tcBorders>
            <w:noWrap/>
            <w:vAlign w:val="bottom"/>
            <w:hideMark/>
          </w:tcPr>
          <w:p w14:paraId="256D2AAF" w14:textId="77777777" w:rsidR="00310E38" w:rsidRPr="00F96EBF" w:rsidRDefault="00310E38" w:rsidP="006D08A5">
            <w:pPr>
              <w:keepNext/>
              <w:keepLines/>
              <w:rPr>
                <w:b/>
                <w:bCs/>
                <w:color w:val="000000" w:themeColor="text1"/>
                <w:sz w:val="20"/>
                <w:szCs w:val="20"/>
                <w:lang w:val="en-GB"/>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680B5077" w14:textId="77777777" w:rsidR="00310E38" w:rsidRPr="00F96EBF" w:rsidRDefault="00310E38" w:rsidP="006D08A5">
            <w:pPr>
              <w:keepNext/>
              <w:keepLines/>
              <w:rPr>
                <w:b/>
                <w:bCs/>
                <w:color w:val="000000" w:themeColor="text1"/>
                <w:sz w:val="18"/>
                <w:szCs w:val="18"/>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1ADDB8" w14:textId="77777777" w:rsidR="00310E38" w:rsidRPr="00F96EBF" w:rsidRDefault="00310E38" w:rsidP="006D08A5">
            <w:pPr>
              <w:keepNext/>
              <w:keepLines/>
              <w:rPr>
                <w:b/>
                <w:bCs/>
                <w:color w:val="000000" w:themeColor="text1"/>
                <w:sz w:val="18"/>
                <w:szCs w:val="18"/>
                <w:lang w:val="en-GB"/>
              </w:rPr>
            </w:pPr>
          </w:p>
        </w:tc>
        <w:tc>
          <w:tcPr>
            <w:tcW w:w="860" w:type="dxa"/>
            <w:tcBorders>
              <w:top w:val="nil"/>
              <w:left w:val="nil"/>
              <w:bottom w:val="single" w:sz="4" w:space="0" w:color="auto"/>
              <w:right w:val="single" w:sz="4" w:space="0" w:color="auto"/>
            </w:tcBorders>
            <w:shd w:val="clear" w:color="000000" w:fill="FFFFFF"/>
            <w:vAlign w:val="center"/>
            <w:hideMark/>
          </w:tcPr>
          <w:p w14:paraId="42B89251"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2001/02‒2007/08</w:t>
            </w:r>
          </w:p>
        </w:tc>
        <w:tc>
          <w:tcPr>
            <w:tcW w:w="860" w:type="dxa"/>
            <w:tcBorders>
              <w:top w:val="nil"/>
              <w:left w:val="nil"/>
              <w:bottom w:val="single" w:sz="4" w:space="0" w:color="auto"/>
              <w:right w:val="single" w:sz="4" w:space="0" w:color="auto"/>
            </w:tcBorders>
            <w:shd w:val="clear" w:color="000000" w:fill="FFFFFF"/>
            <w:vAlign w:val="center"/>
            <w:hideMark/>
          </w:tcPr>
          <w:p w14:paraId="3DD2094A"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2008/09‒ 2014/15</w:t>
            </w:r>
          </w:p>
        </w:tc>
        <w:tc>
          <w:tcPr>
            <w:tcW w:w="860" w:type="dxa"/>
            <w:tcBorders>
              <w:top w:val="nil"/>
              <w:left w:val="nil"/>
              <w:bottom w:val="single" w:sz="4" w:space="0" w:color="auto"/>
              <w:right w:val="single" w:sz="4" w:space="0" w:color="auto"/>
            </w:tcBorders>
            <w:shd w:val="clear" w:color="000000" w:fill="FFFFFF"/>
            <w:vAlign w:val="center"/>
            <w:hideMark/>
          </w:tcPr>
          <w:p w14:paraId="3DBB29E2"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Total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042A050" w14:textId="77777777" w:rsidR="00310E38" w:rsidRPr="00F96EBF" w:rsidRDefault="00310E38" w:rsidP="006D08A5">
            <w:pPr>
              <w:keepNext/>
              <w:keepLines/>
              <w:rPr>
                <w:b/>
                <w:bCs/>
                <w:color w:val="000000" w:themeColor="text1"/>
                <w:sz w:val="20"/>
                <w:szCs w:val="20"/>
                <w:lang w:val="en-GB"/>
              </w:rPr>
            </w:pPr>
          </w:p>
        </w:tc>
      </w:tr>
      <w:tr w:rsidR="00B97B6A" w:rsidRPr="00F96EBF" w14:paraId="5591FFBE" w14:textId="77777777" w:rsidTr="001A72F4">
        <w:trPr>
          <w:trHeight w:val="227"/>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2F502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Andalusia</w:t>
            </w:r>
          </w:p>
        </w:tc>
        <w:tc>
          <w:tcPr>
            <w:tcW w:w="835" w:type="dxa"/>
            <w:tcBorders>
              <w:top w:val="nil"/>
              <w:left w:val="nil"/>
              <w:bottom w:val="single" w:sz="4" w:space="0" w:color="auto"/>
              <w:right w:val="single" w:sz="4" w:space="0" w:color="auto"/>
            </w:tcBorders>
            <w:shd w:val="clear" w:color="000000" w:fill="FFFFFF"/>
            <w:noWrap/>
            <w:vAlign w:val="bottom"/>
            <w:hideMark/>
          </w:tcPr>
          <w:p w14:paraId="2D23AD6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14.2</w:t>
            </w:r>
          </w:p>
        </w:tc>
        <w:tc>
          <w:tcPr>
            <w:tcW w:w="850" w:type="dxa"/>
            <w:tcBorders>
              <w:top w:val="nil"/>
              <w:left w:val="nil"/>
              <w:bottom w:val="single" w:sz="4" w:space="0" w:color="auto"/>
              <w:right w:val="single" w:sz="4" w:space="0" w:color="auto"/>
            </w:tcBorders>
            <w:shd w:val="clear" w:color="000000" w:fill="FFFFFF"/>
            <w:noWrap/>
            <w:vAlign w:val="bottom"/>
            <w:hideMark/>
          </w:tcPr>
          <w:p w14:paraId="4CC1420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16.9</w:t>
            </w:r>
          </w:p>
        </w:tc>
        <w:tc>
          <w:tcPr>
            <w:tcW w:w="860" w:type="dxa"/>
            <w:tcBorders>
              <w:top w:val="nil"/>
              <w:left w:val="nil"/>
              <w:bottom w:val="single" w:sz="4" w:space="0" w:color="auto"/>
              <w:right w:val="single" w:sz="4" w:space="0" w:color="auto"/>
            </w:tcBorders>
            <w:shd w:val="clear" w:color="000000" w:fill="FFFFFF"/>
            <w:noWrap/>
            <w:vAlign w:val="bottom"/>
            <w:hideMark/>
          </w:tcPr>
          <w:p w14:paraId="2D0FFEE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1.41%</w:t>
            </w:r>
          </w:p>
        </w:tc>
        <w:tc>
          <w:tcPr>
            <w:tcW w:w="860" w:type="dxa"/>
            <w:tcBorders>
              <w:top w:val="nil"/>
              <w:left w:val="nil"/>
              <w:bottom w:val="single" w:sz="4" w:space="0" w:color="auto"/>
              <w:right w:val="single" w:sz="4" w:space="0" w:color="auto"/>
            </w:tcBorders>
            <w:shd w:val="clear" w:color="000000" w:fill="FFFFFF"/>
            <w:noWrap/>
            <w:vAlign w:val="bottom"/>
            <w:hideMark/>
          </w:tcPr>
          <w:p w14:paraId="59B2F2B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2.90%</w:t>
            </w:r>
          </w:p>
        </w:tc>
        <w:tc>
          <w:tcPr>
            <w:tcW w:w="860" w:type="dxa"/>
            <w:tcBorders>
              <w:top w:val="nil"/>
              <w:left w:val="nil"/>
              <w:bottom w:val="single" w:sz="4" w:space="0" w:color="auto"/>
              <w:right w:val="single" w:sz="4" w:space="0" w:color="auto"/>
            </w:tcBorders>
            <w:shd w:val="clear" w:color="000000" w:fill="FFFFFF"/>
            <w:noWrap/>
            <w:vAlign w:val="bottom"/>
            <w:hideMark/>
          </w:tcPr>
          <w:p w14:paraId="4116D1B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1.35%</w:t>
            </w:r>
          </w:p>
        </w:tc>
        <w:tc>
          <w:tcPr>
            <w:tcW w:w="1248" w:type="dxa"/>
            <w:tcBorders>
              <w:top w:val="nil"/>
              <w:left w:val="nil"/>
              <w:bottom w:val="single" w:sz="4" w:space="0" w:color="auto"/>
              <w:right w:val="single" w:sz="4" w:space="0" w:color="auto"/>
            </w:tcBorders>
            <w:shd w:val="clear" w:color="000000" w:fill="FFFFFF"/>
            <w:noWrap/>
            <w:vAlign w:val="bottom"/>
            <w:hideMark/>
          </w:tcPr>
          <w:p w14:paraId="237834E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96.6</w:t>
            </w:r>
          </w:p>
        </w:tc>
      </w:tr>
      <w:tr w:rsidR="00B97B6A" w:rsidRPr="00F96EBF" w14:paraId="4355D9B3"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D0D11F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Aragón</w:t>
            </w:r>
          </w:p>
        </w:tc>
        <w:tc>
          <w:tcPr>
            <w:tcW w:w="835" w:type="dxa"/>
            <w:tcBorders>
              <w:top w:val="nil"/>
              <w:left w:val="nil"/>
              <w:bottom w:val="single" w:sz="4" w:space="0" w:color="auto"/>
              <w:right w:val="single" w:sz="4" w:space="0" w:color="auto"/>
            </w:tcBorders>
            <w:shd w:val="clear" w:color="000000" w:fill="FFFFFF"/>
            <w:noWrap/>
            <w:vAlign w:val="bottom"/>
            <w:hideMark/>
          </w:tcPr>
          <w:p w14:paraId="5976E07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14.8</w:t>
            </w:r>
          </w:p>
        </w:tc>
        <w:tc>
          <w:tcPr>
            <w:tcW w:w="850" w:type="dxa"/>
            <w:tcBorders>
              <w:top w:val="nil"/>
              <w:left w:val="nil"/>
              <w:bottom w:val="single" w:sz="4" w:space="0" w:color="auto"/>
              <w:right w:val="single" w:sz="4" w:space="0" w:color="auto"/>
            </w:tcBorders>
            <w:shd w:val="clear" w:color="000000" w:fill="FFFFFF"/>
            <w:noWrap/>
            <w:vAlign w:val="bottom"/>
            <w:hideMark/>
          </w:tcPr>
          <w:p w14:paraId="408DDD6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17.5</w:t>
            </w:r>
          </w:p>
        </w:tc>
        <w:tc>
          <w:tcPr>
            <w:tcW w:w="860" w:type="dxa"/>
            <w:tcBorders>
              <w:top w:val="nil"/>
              <w:left w:val="nil"/>
              <w:bottom w:val="single" w:sz="4" w:space="0" w:color="auto"/>
              <w:right w:val="single" w:sz="4" w:space="0" w:color="auto"/>
            </w:tcBorders>
            <w:shd w:val="clear" w:color="000000" w:fill="FFFFFF"/>
            <w:noWrap/>
            <w:vAlign w:val="bottom"/>
            <w:hideMark/>
          </w:tcPr>
          <w:p w14:paraId="1D732CF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0.76%</w:t>
            </w:r>
          </w:p>
        </w:tc>
        <w:tc>
          <w:tcPr>
            <w:tcW w:w="860" w:type="dxa"/>
            <w:tcBorders>
              <w:top w:val="nil"/>
              <w:left w:val="nil"/>
              <w:bottom w:val="single" w:sz="4" w:space="0" w:color="auto"/>
              <w:right w:val="single" w:sz="4" w:space="0" w:color="auto"/>
            </w:tcBorders>
            <w:shd w:val="clear" w:color="000000" w:fill="FFFFFF"/>
            <w:noWrap/>
            <w:vAlign w:val="bottom"/>
            <w:hideMark/>
          </w:tcPr>
          <w:p w14:paraId="66906E7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3.12%</w:t>
            </w:r>
          </w:p>
        </w:tc>
        <w:tc>
          <w:tcPr>
            <w:tcW w:w="860" w:type="dxa"/>
            <w:tcBorders>
              <w:top w:val="nil"/>
              <w:left w:val="nil"/>
              <w:bottom w:val="single" w:sz="4" w:space="0" w:color="auto"/>
              <w:right w:val="single" w:sz="4" w:space="0" w:color="auto"/>
            </w:tcBorders>
            <w:shd w:val="clear" w:color="000000" w:fill="FFFFFF"/>
            <w:noWrap/>
            <w:vAlign w:val="bottom"/>
            <w:hideMark/>
          </w:tcPr>
          <w:p w14:paraId="4DEBE08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1.26%</w:t>
            </w:r>
          </w:p>
        </w:tc>
        <w:tc>
          <w:tcPr>
            <w:tcW w:w="1248" w:type="dxa"/>
            <w:tcBorders>
              <w:top w:val="nil"/>
              <w:left w:val="nil"/>
              <w:bottom w:val="single" w:sz="4" w:space="0" w:color="auto"/>
              <w:right w:val="single" w:sz="4" w:space="0" w:color="auto"/>
            </w:tcBorders>
            <w:shd w:val="clear" w:color="000000" w:fill="FFFFFF"/>
            <w:noWrap/>
            <w:vAlign w:val="bottom"/>
            <w:hideMark/>
          </w:tcPr>
          <w:p w14:paraId="6D1114B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99.8</w:t>
            </w:r>
          </w:p>
        </w:tc>
      </w:tr>
      <w:tr w:rsidR="00B97B6A" w:rsidRPr="00F96EBF" w14:paraId="1D00A0A1"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F8D7AA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Asturias</w:t>
            </w:r>
          </w:p>
        </w:tc>
        <w:tc>
          <w:tcPr>
            <w:tcW w:w="835" w:type="dxa"/>
            <w:tcBorders>
              <w:top w:val="nil"/>
              <w:left w:val="nil"/>
              <w:bottom w:val="single" w:sz="4" w:space="0" w:color="auto"/>
              <w:right w:val="single" w:sz="4" w:space="0" w:color="auto"/>
            </w:tcBorders>
            <w:shd w:val="clear" w:color="000000" w:fill="FFFFFF"/>
            <w:noWrap/>
            <w:vAlign w:val="bottom"/>
            <w:hideMark/>
          </w:tcPr>
          <w:p w14:paraId="01A7FFB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15.1</w:t>
            </w:r>
          </w:p>
        </w:tc>
        <w:tc>
          <w:tcPr>
            <w:tcW w:w="850" w:type="dxa"/>
            <w:tcBorders>
              <w:top w:val="nil"/>
              <w:left w:val="nil"/>
              <w:bottom w:val="single" w:sz="4" w:space="0" w:color="auto"/>
              <w:right w:val="single" w:sz="4" w:space="0" w:color="auto"/>
            </w:tcBorders>
            <w:shd w:val="clear" w:color="000000" w:fill="FFFFFF"/>
            <w:noWrap/>
            <w:vAlign w:val="bottom"/>
            <w:hideMark/>
          </w:tcPr>
          <w:p w14:paraId="250AB4A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17.6</w:t>
            </w:r>
          </w:p>
        </w:tc>
        <w:tc>
          <w:tcPr>
            <w:tcW w:w="860" w:type="dxa"/>
            <w:tcBorders>
              <w:top w:val="nil"/>
              <w:left w:val="nil"/>
              <w:bottom w:val="single" w:sz="4" w:space="0" w:color="auto"/>
              <w:right w:val="single" w:sz="4" w:space="0" w:color="auto"/>
            </w:tcBorders>
            <w:shd w:val="clear" w:color="000000" w:fill="FFFFFF"/>
            <w:noWrap/>
            <w:vAlign w:val="bottom"/>
            <w:hideMark/>
          </w:tcPr>
          <w:p w14:paraId="26C2217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w:t>
            </w:r>
          </w:p>
        </w:tc>
        <w:tc>
          <w:tcPr>
            <w:tcW w:w="860" w:type="dxa"/>
            <w:tcBorders>
              <w:top w:val="nil"/>
              <w:left w:val="nil"/>
              <w:bottom w:val="single" w:sz="4" w:space="0" w:color="auto"/>
              <w:right w:val="single" w:sz="4" w:space="0" w:color="auto"/>
            </w:tcBorders>
            <w:shd w:val="clear" w:color="000000" w:fill="FFFFFF"/>
            <w:noWrap/>
            <w:vAlign w:val="bottom"/>
            <w:hideMark/>
          </w:tcPr>
          <w:p w14:paraId="008AEF0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2.85%</w:t>
            </w:r>
          </w:p>
        </w:tc>
        <w:tc>
          <w:tcPr>
            <w:tcW w:w="860" w:type="dxa"/>
            <w:tcBorders>
              <w:top w:val="nil"/>
              <w:left w:val="nil"/>
              <w:bottom w:val="single" w:sz="4" w:space="0" w:color="auto"/>
              <w:right w:val="single" w:sz="4" w:space="0" w:color="auto"/>
            </w:tcBorders>
            <w:shd w:val="clear" w:color="000000" w:fill="FFFFFF"/>
            <w:noWrap/>
            <w:vAlign w:val="bottom"/>
            <w:hideMark/>
          </w:tcPr>
          <w:p w14:paraId="6D005C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1.16%</w:t>
            </w:r>
          </w:p>
        </w:tc>
        <w:tc>
          <w:tcPr>
            <w:tcW w:w="1248" w:type="dxa"/>
            <w:tcBorders>
              <w:top w:val="nil"/>
              <w:left w:val="nil"/>
              <w:bottom w:val="single" w:sz="4" w:space="0" w:color="auto"/>
              <w:right w:val="single" w:sz="4" w:space="0" w:color="auto"/>
            </w:tcBorders>
            <w:shd w:val="clear" w:color="000000" w:fill="FFFFFF"/>
            <w:noWrap/>
            <w:vAlign w:val="bottom"/>
            <w:hideMark/>
          </w:tcPr>
          <w:p w14:paraId="41EF865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100.5</w:t>
            </w:r>
          </w:p>
        </w:tc>
      </w:tr>
      <w:tr w:rsidR="00B97B6A" w:rsidRPr="00F96EBF" w14:paraId="0260B32E"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C1EF3B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Balearic Islands</w:t>
            </w:r>
          </w:p>
        </w:tc>
        <w:tc>
          <w:tcPr>
            <w:tcW w:w="835" w:type="dxa"/>
            <w:tcBorders>
              <w:top w:val="nil"/>
              <w:left w:val="nil"/>
              <w:bottom w:val="single" w:sz="4" w:space="0" w:color="auto"/>
              <w:right w:val="single" w:sz="4" w:space="0" w:color="auto"/>
            </w:tcBorders>
            <w:shd w:val="clear" w:color="000000" w:fill="FFFFFF"/>
            <w:noWrap/>
            <w:vAlign w:val="bottom"/>
            <w:hideMark/>
          </w:tcPr>
          <w:p w14:paraId="0A797CC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12.9</w:t>
            </w:r>
          </w:p>
        </w:tc>
        <w:tc>
          <w:tcPr>
            <w:tcW w:w="850" w:type="dxa"/>
            <w:tcBorders>
              <w:top w:val="nil"/>
              <w:left w:val="nil"/>
              <w:bottom w:val="single" w:sz="4" w:space="0" w:color="auto"/>
              <w:right w:val="single" w:sz="4" w:space="0" w:color="auto"/>
            </w:tcBorders>
            <w:shd w:val="clear" w:color="000000" w:fill="FFFFFF"/>
            <w:noWrap/>
            <w:vAlign w:val="bottom"/>
            <w:hideMark/>
          </w:tcPr>
          <w:p w14:paraId="71B5372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w:t>
            </w:r>
          </w:p>
        </w:tc>
        <w:tc>
          <w:tcPr>
            <w:tcW w:w="860" w:type="dxa"/>
            <w:tcBorders>
              <w:top w:val="nil"/>
              <w:left w:val="nil"/>
              <w:bottom w:val="single" w:sz="4" w:space="0" w:color="auto"/>
              <w:right w:val="single" w:sz="4" w:space="0" w:color="auto"/>
            </w:tcBorders>
            <w:shd w:val="clear" w:color="000000" w:fill="FFFFFF"/>
            <w:noWrap/>
            <w:vAlign w:val="bottom"/>
            <w:hideMark/>
          </w:tcPr>
          <w:p w14:paraId="501106D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0.99%</w:t>
            </w:r>
          </w:p>
        </w:tc>
        <w:tc>
          <w:tcPr>
            <w:tcW w:w="860" w:type="dxa"/>
            <w:tcBorders>
              <w:top w:val="nil"/>
              <w:left w:val="nil"/>
              <w:bottom w:val="single" w:sz="4" w:space="0" w:color="auto"/>
              <w:right w:val="single" w:sz="4" w:space="0" w:color="auto"/>
            </w:tcBorders>
            <w:shd w:val="clear" w:color="000000" w:fill="FFFFFF"/>
            <w:noWrap/>
            <w:vAlign w:val="bottom"/>
            <w:hideMark/>
          </w:tcPr>
          <w:p w14:paraId="383F565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3.56%</w:t>
            </w:r>
          </w:p>
        </w:tc>
        <w:tc>
          <w:tcPr>
            <w:tcW w:w="860" w:type="dxa"/>
            <w:tcBorders>
              <w:top w:val="nil"/>
              <w:left w:val="nil"/>
              <w:bottom w:val="single" w:sz="4" w:space="0" w:color="auto"/>
              <w:right w:val="single" w:sz="4" w:space="0" w:color="auto"/>
            </w:tcBorders>
            <w:shd w:val="clear" w:color="000000" w:fill="FFFFFF"/>
            <w:noWrap/>
            <w:vAlign w:val="bottom"/>
            <w:hideMark/>
          </w:tcPr>
          <w:p w14:paraId="70DF4BD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1.17%</w:t>
            </w:r>
          </w:p>
        </w:tc>
        <w:tc>
          <w:tcPr>
            <w:tcW w:w="1248" w:type="dxa"/>
            <w:tcBorders>
              <w:top w:val="nil"/>
              <w:left w:val="nil"/>
              <w:bottom w:val="single" w:sz="4" w:space="0" w:color="auto"/>
              <w:right w:val="single" w:sz="4" w:space="0" w:color="auto"/>
            </w:tcBorders>
            <w:shd w:val="clear" w:color="000000" w:fill="FFFFFF"/>
            <w:noWrap/>
            <w:vAlign w:val="bottom"/>
            <w:hideMark/>
          </w:tcPr>
          <w:p w14:paraId="416CB4C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85.8</w:t>
            </w:r>
          </w:p>
        </w:tc>
      </w:tr>
      <w:tr w:rsidR="00B97B6A" w:rsidRPr="00F96EBF" w14:paraId="1C271E2A"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2C6A09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Basque Country</w:t>
            </w:r>
          </w:p>
        </w:tc>
        <w:tc>
          <w:tcPr>
            <w:tcW w:w="835" w:type="dxa"/>
            <w:tcBorders>
              <w:top w:val="nil"/>
              <w:left w:val="nil"/>
              <w:bottom w:val="single" w:sz="4" w:space="0" w:color="auto"/>
              <w:right w:val="single" w:sz="4" w:space="0" w:color="auto"/>
            </w:tcBorders>
            <w:shd w:val="clear" w:color="000000" w:fill="FFFFFF"/>
            <w:noWrap/>
            <w:vAlign w:val="bottom"/>
            <w:hideMark/>
          </w:tcPr>
          <w:p w14:paraId="290C63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15.4</w:t>
            </w:r>
          </w:p>
        </w:tc>
        <w:tc>
          <w:tcPr>
            <w:tcW w:w="850" w:type="dxa"/>
            <w:tcBorders>
              <w:top w:val="nil"/>
              <w:left w:val="nil"/>
              <w:bottom w:val="single" w:sz="4" w:space="0" w:color="auto"/>
              <w:right w:val="single" w:sz="4" w:space="0" w:color="auto"/>
            </w:tcBorders>
            <w:shd w:val="clear" w:color="000000" w:fill="FFFFFF"/>
            <w:noWrap/>
            <w:vAlign w:val="bottom"/>
            <w:hideMark/>
          </w:tcPr>
          <w:p w14:paraId="5B57EC7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18.6</w:t>
            </w:r>
          </w:p>
        </w:tc>
        <w:tc>
          <w:tcPr>
            <w:tcW w:w="860" w:type="dxa"/>
            <w:tcBorders>
              <w:top w:val="nil"/>
              <w:left w:val="nil"/>
              <w:bottom w:val="single" w:sz="4" w:space="0" w:color="auto"/>
              <w:right w:val="single" w:sz="4" w:space="0" w:color="auto"/>
            </w:tcBorders>
            <w:shd w:val="clear" w:color="000000" w:fill="FFFFFF"/>
            <w:noWrap/>
            <w:vAlign w:val="bottom"/>
            <w:hideMark/>
          </w:tcPr>
          <w:p w14:paraId="571843B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1.97%</w:t>
            </w:r>
          </w:p>
        </w:tc>
        <w:tc>
          <w:tcPr>
            <w:tcW w:w="860" w:type="dxa"/>
            <w:tcBorders>
              <w:top w:val="nil"/>
              <w:left w:val="nil"/>
              <w:bottom w:val="single" w:sz="4" w:space="0" w:color="auto"/>
              <w:right w:val="single" w:sz="4" w:space="0" w:color="auto"/>
            </w:tcBorders>
            <w:shd w:val="clear" w:color="000000" w:fill="FFFFFF"/>
            <w:noWrap/>
            <w:vAlign w:val="bottom"/>
            <w:hideMark/>
          </w:tcPr>
          <w:p w14:paraId="58E98D5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3.05%</w:t>
            </w:r>
          </w:p>
        </w:tc>
        <w:tc>
          <w:tcPr>
            <w:tcW w:w="860" w:type="dxa"/>
            <w:tcBorders>
              <w:top w:val="nil"/>
              <w:left w:val="nil"/>
              <w:bottom w:val="single" w:sz="4" w:space="0" w:color="auto"/>
              <w:right w:val="single" w:sz="4" w:space="0" w:color="auto"/>
            </w:tcBorders>
            <w:shd w:val="clear" w:color="000000" w:fill="FFFFFF"/>
            <w:noWrap/>
            <w:vAlign w:val="bottom"/>
            <w:hideMark/>
          </w:tcPr>
          <w:p w14:paraId="12DFB9E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1.45%</w:t>
            </w:r>
          </w:p>
        </w:tc>
        <w:tc>
          <w:tcPr>
            <w:tcW w:w="1248" w:type="dxa"/>
            <w:tcBorders>
              <w:top w:val="nil"/>
              <w:left w:val="nil"/>
              <w:bottom w:val="single" w:sz="4" w:space="0" w:color="auto"/>
              <w:right w:val="single" w:sz="4" w:space="0" w:color="auto"/>
            </w:tcBorders>
            <w:shd w:val="clear" w:color="000000" w:fill="FFFFFF"/>
            <w:noWrap/>
            <w:vAlign w:val="bottom"/>
            <w:hideMark/>
          </w:tcPr>
          <w:p w14:paraId="2BEC1D2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106.1</w:t>
            </w:r>
          </w:p>
        </w:tc>
      </w:tr>
      <w:tr w:rsidR="00B97B6A" w:rsidRPr="00F96EBF" w14:paraId="48C6425B"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3BCDF31"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Canary Islands</w:t>
            </w:r>
          </w:p>
        </w:tc>
        <w:tc>
          <w:tcPr>
            <w:tcW w:w="835" w:type="dxa"/>
            <w:tcBorders>
              <w:top w:val="nil"/>
              <w:left w:val="nil"/>
              <w:bottom w:val="single" w:sz="4" w:space="0" w:color="auto"/>
              <w:right w:val="single" w:sz="4" w:space="0" w:color="auto"/>
            </w:tcBorders>
            <w:shd w:val="clear" w:color="000000" w:fill="FFFFFF"/>
            <w:noWrap/>
            <w:vAlign w:val="bottom"/>
            <w:hideMark/>
          </w:tcPr>
          <w:p w14:paraId="1FCB1B8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14.0</w:t>
            </w:r>
          </w:p>
        </w:tc>
        <w:tc>
          <w:tcPr>
            <w:tcW w:w="850" w:type="dxa"/>
            <w:tcBorders>
              <w:top w:val="nil"/>
              <w:left w:val="nil"/>
              <w:bottom w:val="single" w:sz="4" w:space="0" w:color="auto"/>
              <w:right w:val="single" w:sz="4" w:space="0" w:color="auto"/>
            </w:tcBorders>
            <w:shd w:val="clear" w:color="000000" w:fill="FFFFFF"/>
            <w:noWrap/>
            <w:vAlign w:val="bottom"/>
            <w:hideMark/>
          </w:tcPr>
          <w:p w14:paraId="4DEC54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16.9</w:t>
            </w:r>
          </w:p>
        </w:tc>
        <w:tc>
          <w:tcPr>
            <w:tcW w:w="860" w:type="dxa"/>
            <w:tcBorders>
              <w:top w:val="nil"/>
              <w:left w:val="nil"/>
              <w:bottom w:val="single" w:sz="4" w:space="0" w:color="auto"/>
              <w:right w:val="single" w:sz="4" w:space="0" w:color="auto"/>
            </w:tcBorders>
            <w:shd w:val="clear" w:color="000000" w:fill="FFFFFF"/>
            <w:noWrap/>
            <w:vAlign w:val="bottom"/>
            <w:hideMark/>
          </w:tcPr>
          <w:p w14:paraId="7E75644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1.69%</w:t>
            </w:r>
          </w:p>
        </w:tc>
        <w:tc>
          <w:tcPr>
            <w:tcW w:w="860" w:type="dxa"/>
            <w:tcBorders>
              <w:top w:val="nil"/>
              <w:left w:val="nil"/>
              <w:bottom w:val="single" w:sz="4" w:space="0" w:color="auto"/>
              <w:right w:val="single" w:sz="4" w:space="0" w:color="auto"/>
            </w:tcBorders>
            <w:shd w:val="clear" w:color="000000" w:fill="FFFFFF"/>
            <w:noWrap/>
            <w:vAlign w:val="bottom"/>
            <w:hideMark/>
          </w:tcPr>
          <w:p w14:paraId="78946EE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3.87%</w:t>
            </w:r>
          </w:p>
        </w:tc>
        <w:tc>
          <w:tcPr>
            <w:tcW w:w="860" w:type="dxa"/>
            <w:tcBorders>
              <w:top w:val="nil"/>
              <w:left w:val="nil"/>
              <w:bottom w:val="single" w:sz="4" w:space="0" w:color="auto"/>
              <w:right w:val="single" w:sz="4" w:space="0" w:color="auto"/>
            </w:tcBorders>
            <w:shd w:val="clear" w:color="000000" w:fill="FFFFFF"/>
            <w:noWrap/>
            <w:vAlign w:val="bottom"/>
            <w:hideMark/>
          </w:tcPr>
          <w:p w14:paraId="716E70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1.48%</w:t>
            </w:r>
          </w:p>
        </w:tc>
        <w:tc>
          <w:tcPr>
            <w:tcW w:w="1248" w:type="dxa"/>
            <w:tcBorders>
              <w:top w:val="nil"/>
              <w:left w:val="nil"/>
              <w:bottom w:val="single" w:sz="4" w:space="0" w:color="auto"/>
              <w:right w:val="single" w:sz="4" w:space="0" w:color="auto"/>
            </w:tcBorders>
            <w:shd w:val="clear" w:color="000000" w:fill="FFFFFF"/>
            <w:noWrap/>
            <w:vAlign w:val="bottom"/>
            <w:hideMark/>
          </w:tcPr>
          <w:p w14:paraId="34CD731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96.8</w:t>
            </w:r>
          </w:p>
        </w:tc>
      </w:tr>
      <w:tr w:rsidR="00B97B6A" w:rsidRPr="00F96EBF" w14:paraId="092E2BDF"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8EC6B9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Cantabria</w:t>
            </w:r>
          </w:p>
        </w:tc>
        <w:tc>
          <w:tcPr>
            <w:tcW w:w="835" w:type="dxa"/>
            <w:tcBorders>
              <w:top w:val="nil"/>
              <w:left w:val="nil"/>
              <w:bottom w:val="single" w:sz="4" w:space="0" w:color="auto"/>
              <w:right w:val="single" w:sz="4" w:space="0" w:color="auto"/>
            </w:tcBorders>
            <w:shd w:val="clear" w:color="000000" w:fill="FFFFFF"/>
            <w:noWrap/>
            <w:vAlign w:val="bottom"/>
            <w:hideMark/>
          </w:tcPr>
          <w:p w14:paraId="20E81AC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14.4</w:t>
            </w:r>
          </w:p>
        </w:tc>
        <w:tc>
          <w:tcPr>
            <w:tcW w:w="850" w:type="dxa"/>
            <w:tcBorders>
              <w:top w:val="nil"/>
              <w:left w:val="nil"/>
              <w:bottom w:val="single" w:sz="4" w:space="0" w:color="auto"/>
              <w:right w:val="single" w:sz="4" w:space="0" w:color="auto"/>
            </w:tcBorders>
            <w:shd w:val="clear" w:color="000000" w:fill="FFFFFF"/>
            <w:noWrap/>
            <w:vAlign w:val="bottom"/>
            <w:hideMark/>
          </w:tcPr>
          <w:p w14:paraId="035740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17.4</w:t>
            </w:r>
          </w:p>
        </w:tc>
        <w:tc>
          <w:tcPr>
            <w:tcW w:w="860" w:type="dxa"/>
            <w:tcBorders>
              <w:top w:val="nil"/>
              <w:left w:val="nil"/>
              <w:bottom w:val="single" w:sz="4" w:space="0" w:color="auto"/>
              <w:right w:val="single" w:sz="4" w:space="0" w:color="auto"/>
            </w:tcBorders>
            <w:shd w:val="clear" w:color="000000" w:fill="FFFFFF"/>
            <w:noWrap/>
            <w:vAlign w:val="bottom"/>
            <w:hideMark/>
          </w:tcPr>
          <w:p w14:paraId="4540CF5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0.97%</w:t>
            </w:r>
          </w:p>
        </w:tc>
        <w:tc>
          <w:tcPr>
            <w:tcW w:w="860" w:type="dxa"/>
            <w:tcBorders>
              <w:top w:val="nil"/>
              <w:left w:val="nil"/>
              <w:bottom w:val="single" w:sz="4" w:space="0" w:color="auto"/>
              <w:right w:val="single" w:sz="4" w:space="0" w:color="auto"/>
            </w:tcBorders>
            <w:shd w:val="clear" w:color="000000" w:fill="FFFFFF"/>
            <w:noWrap/>
            <w:vAlign w:val="bottom"/>
            <w:hideMark/>
          </w:tcPr>
          <w:p w14:paraId="625F4BA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3.20%</w:t>
            </w:r>
          </w:p>
        </w:tc>
        <w:tc>
          <w:tcPr>
            <w:tcW w:w="860" w:type="dxa"/>
            <w:tcBorders>
              <w:top w:val="nil"/>
              <w:left w:val="nil"/>
              <w:bottom w:val="single" w:sz="4" w:space="0" w:color="auto"/>
              <w:right w:val="single" w:sz="4" w:space="0" w:color="auto"/>
            </w:tcBorders>
            <w:shd w:val="clear" w:color="000000" w:fill="FFFFFF"/>
            <w:noWrap/>
            <w:vAlign w:val="bottom"/>
            <w:hideMark/>
          </w:tcPr>
          <w:p w14:paraId="7CE5C94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1.45%</w:t>
            </w:r>
          </w:p>
        </w:tc>
        <w:tc>
          <w:tcPr>
            <w:tcW w:w="1248" w:type="dxa"/>
            <w:tcBorders>
              <w:top w:val="nil"/>
              <w:left w:val="nil"/>
              <w:bottom w:val="single" w:sz="4" w:space="0" w:color="auto"/>
              <w:right w:val="single" w:sz="4" w:space="0" w:color="auto"/>
            </w:tcBorders>
            <w:shd w:val="clear" w:color="000000" w:fill="FFFFFF"/>
            <w:noWrap/>
            <w:vAlign w:val="bottom"/>
            <w:hideMark/>
          </w:tcPr>
          <w:p w14:paraId="166704C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99.3</w:t>
            </w:r>
          </w:p>
        </w:tc>
      </w:tr>
      <w:tr w:rsidR="00B97B6A" w:rsidRPr="00F96EBF" w14:paraId="5F2E0889"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B55AFA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 and Leon</w:t>
            </w:r>
          </w:p>
        </w:tc>
        <w:tc>
          <w:tcPr>
            <w:tcW w:w="835" w:type="dxa"/>
            <w:tcBorders>
              <w:top w:val="nil"/>
              <w:left w:val="nil"/>
              <w:bottom w:val="single" w:sz="4" w:space="0" w:color="auto"/>
              <w:right w:val="single" w:sz="4" w:space="0" w:color="auto"/>
            </w:tcBorders>
            <w:shd w:val="clear" w:color="000000" w:fill="FFFFFF"/>
            <w:noWrap/>
            <w:vAlign w:val="bottom"/>
            <w:hideMark/>
          </w:tcPr>
          <w:p w14:paraId="313F6E0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15.6</w:t>
            </w:r>
          </w:p>
        </w:tc>
        <w:tc>
          <w:tcPr>
            <w:tcW w:w="850" w:type="dxa"/>
            <w:tcBorders>
              <w:top w:val="nil"/>
              <w:left w:val="nil"/>
              <w:bottom w:val="single" w:sz="4" w:space="0" w:color="auto"/>
              <w:right w:val="single" w:sz="4" w:space="0" w:color="auto"/>
            </w:tcBorders>
            <w:shd w:val="clear" w:color="000000" w:fill="FFFFFF"/>
            <w:noWrap/>
            <w:vAlign w:val="bottom"/>
            <w:hideMark/>
          </w:tcPr>
          <w:p w14:paraId="696C173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18.6</w:t>
            </w:r>
          </w:p>
        </w:tc>
        <w:tc>
          <w:tcPr>
            <w:tcW w:w="860" w:type="dxa"/>
            <w:tcBorders>
              <w:top w:val="nil"/>
              <w:left w:val="nil"/>
              <w:bottom w:val="single" w:sz="4" w:space="0" w:color="auto"/>
              <w:right w:val="single" w:sz="4" w:space="0" w:color="auto"/>
            </w:tcBorders>
            <w:shd w:val="clear" w:color="000000" w:fill="FFFFFF"/>
            <w:noWrap/>
            <w:vAlign w:val="bottom"/>
            <w:hideMark/>
          </w:tcPr>
          <w:p w14:paraId="72C4A18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1.27%</w:t>
            </w:r>
          </w:p>
        </w:tc>
        <w:tc>
          <w:tcPr>
            <w:tcW w:w="860" w:type="dxa"/>
            <w:tcBorders>
              <w:top w:val="nil"/>
              <w:left w:val="nil"/>
              <w:bottom w:val="single" w:sz="4" w:space="0" w:color="auto"/>
              <w:right w:val="single" w:sz="4" w:space="0" w:color="auto"/>
            </w:tcBorders>
            <w:shd w:val="clear" w:color="000000" w:fill="FFFFFF"/>
            <w:noWrap/>
            <w:vAlign w:val="bottom"/>
            <w:hideMark/>
          </w:tcPr>
          <w:p w14:paraId="7C75A97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3.17%</w:t>
            </w:r>
          </w:p>
        </w:tc>
        <w:tc>
          <w:tcPr>
            <w:tcW w:w="860" w:type="dxa"/>
            <w:tcBorders>
              <w:top w:val="nil"/>
              <w:left w:val="nil"/>
              <w:bottom w:val="single" w:sz="4" w:space="0" w:color="auto"/>
              <w:right w:val="single" w:sz="4" w:space="0" w:color="auto"/>
            </w:tcBorders>
            <w:shd w:val="clear" w:color="000000" w:fill="FFFFFF"/>
            <w:noWrap/>
            <w:vAlign w:val="bottom"/>
            <w:hideMark/>
          </w:tcPr>
          <w:p w14:paraId="48F3D42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1.39%</w:t>
            </w:r>
          </w:p>
        </w:tc>
        <w:tc>
          <w:tcPr>
            <w:tcW w:w="1248" w:type="dxa"/>
            <w:tcBorders>
              <w:top w:val="nil"/>
              <w:left w:val="nil"/>
              <w:bottom w:val="single" w:sz="4" w:space="0" w:color="auto"/>
              <w:right w:val="single" w:sz="4" w:space="0" w:color="auto"/>
            </w:tcBorders>
            <w:shd w:val="clear" w:color="000000" w:fill="FFFFFF"/>
            <w:noWrap/>
            <w:vAlign w:val="bottom"/>
            <w:hideMark/>
          </w:tcPr>
          <w:p w14:paraId="4D1FFCB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106.4</w:t>
            </w:r>
          </w:p>
        </w:tc>
      </w:tr>
      <w:tr w:rsidR="00B97B6A" w:rsidRPr="00F96EBF" w14:paraId="0F36DC72"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040A61B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Castile-La Mancha</w:t>
            </w:r>
          </w:p>
        </w:tc>
        <w:tc>
          <w:tcPr>
            <w:tcW w:w="835" w:type="dxa"/>
            <w:tcBorders>
              <w:top w:val="nil"/>
              <w:left w:val="nil"/>
              <w:bottom w:val="single" w:sz="4" w:space="0" w:color="auto"/>
              <w:right w:val="single" w:sz="4" w:space="0" w:color="auto"/>
            </w:tcBorders>
            <w:shd w:val="clear" w:color="000000" w:fill="FFFFFF"/>
            <w:noWrap/>
            <w:vAlign w:val="bottom"/>
            <w:hideMark/>
          </w:tcPr>
          <w:p w14:paraId="1D544DB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13.5</w:t>
            </w:r>
          </w:p>
        </w:tc>
        <w:tc>
          <w:tcPr>
            <w:tcW w:w="850" w:type="dxa"/>
            <w:tcBorders>
              <w:top w:val="nil"/>
              <w:left w:val="nil"/>
              <w:bottom w:val="single" w:sz="4" w:space="0" w:color="auto"/>
              <w:right w:val="single" w:sz="4" w:space="0" w:color="auto"/>
            </w:tcBorders>
            <w:shd w:val="clear" w:color="000000" w:fill="FFFFFF"/>
            <w:noWrap/>
            <w:vAlign w:val="bottom"/>
            <w:hideMark/>
          </w:tcPr>
          <w:p w14:paraId="4635B52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16.2</w:t>
            </w:r>
          </w:p>
        </w:tc>
        <w:tc>
          <w:tcPr>
            <w:tcW w:w="860" w:type="dxa"/>
            <w:tcBorders>
              <w:top w:val="nil"/>
              <w:left w:val="nil"/>
              <w:bottom w:val="single" w:sz="4" w:space="0" w:color="auto"/>
              <w:right w:val="single" w:sz="4" w:space="0" w:color="auto"/>
            </w:tcBorders>
            <w:shd w:val="clear" w:color="000000" w:fill="FFFFFF"/>
            <w:noWrap/>
            <w:vAlign w:val="bottom"/>
            <w:hideMark/>
          </w:tcPr>
          <w:p w14:paraId="15736CF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1.15%</w:t>
            </w:r>
          </w:p>
        </w:tc>
        <w:tc>
          <w:tcPr>
            <w:tcW w:w="860" w:type="dxa"/>
            <w:tcBorders>
              <w:top w:val="nil"/>
              <w:left w:val="nil"/>
              <w:bottom w:val="single" w:sz="4" w:space="0" w:color="auto"/>
              <w:right w:val="single" w:sz="4" w:space="0" w:color="auto"/>
            </w:tcBorders>
            <w:shd w:val="clear" w:color="000000" w:fill="FFFFFF"/>
            <w:noWrap/>
            <w:vAlign w:val="bottom"/>
            <w:hideMark/>
          </w:tcPr>
          <w:p w14:paraId="08270FE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3.06%</w:t>
            </w:r>
          </w:p>
        </w:tc>
        <w:tc>
          <w:tcPr>
            <w:tcW w:w="860" w:type="dxa"/>
            <w:tcBorders>
              <w:top w:val="nil"/>
              <w:left w:val="nil"/>
              <w:bottom w:val="single" w:sz="4" w:space="0" w:color="auto"/>
              <w:right w:val="single" w:sz="4" w:space="0" w:color="auto"/>
            </w:tcBorders>
            <w:shd w:val="clear" w:color="000000" w:fill="FFFFFF"/>
            <w:noWrap/>
            <w:vAlign w:val="bottom"/>
            <w:hideMark/>
          </w:tcPr>
          <w:p w14:paraId="5D98D24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1.40%</w:t>
            </w:r>
          </w:p>
        </w:tc>
        <w:tc>
          <w:tcPr>
            <w:tcW w:w="1248" w:type="dxa"/>
            <w:tcBorders>
              <w:top w:val="nil"/>
              <w:left w:val="nil"/>
              <w:bottom w:val="single" w:sz="4" w:space="0" w:color="auto"/>
              <w:right w:val="single" w:sz="4" w:space="0" w:color="auto"/>
            </w:tcBorders>
            <w:shd w:val="clear" w:color="000000" w:fill="FFFFFF"/>
            <w:noWrap/>
            <w:vAlign w:val="bottom"/>
            <w:hideMark/>
          </w:tcPr>
          <w:p w14:paraId="4AC8AA3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92.5</w:t>
            </w:r>
          </w:p>
        </w:tc>
      </w:tr>
      <w:tr w:rsidR="00B97B6A" w:rsidRPr="00F96EBF" w14:paraId="4AAC13B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6B3BA6F"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Catalonia</w:t>
            </w:r>
          </w:p>
        </w:tc>
        <w:tc>
          <w:tcPr>
            <w:tcW w:w="835" w:type="dxa"/>
            <w:tcBorders>
              <w:top w:val="nil"/>
              <w:left w:val="nil"/>
              <w:bottom w:val="single" w:sz="4" w:space="0" w:color="auto"/>
              <w:right w:val="single" w:sz="4" w:space="0" w:color="auto"/>
            </w:tcBorders>
            <w:shd w:val="clear" w:color="000000" w:fill="FFFFFF"/>
            <w:noWrap/>
            <w:vAlign w:val="bottom"/>
            <w:hideMark/>
          </w:tcPr>
          <w:p w14:paraId="780416E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14.2</w:t>
            </w:r>
          </w:p>
        </w:tc>
        <w:tc>
          <w:tcPr>
            <w:tcW w:w="850" w:type="dxa"/>
            <w:tcBorders>
              <w:top w:val="nil"/>
              <w:left w:val="nil"/>
              <w:bottom w:val="single" w:sz="4" w:space="0" w:color="auto"/>
              <w:right w:val="single" w:sz="4" w:space="0" w:color="auto"/>
            </w:tcBorders>
            <w:shd w:val="clear" w:color="000000" w:fill="FFFFFF"/>
            <w:noWrap/>
            <w:vAlign w:val="bottom"/>
            <w:hideMark/>
          </w:tcPr>
          <w:p w14:paraId="4FF083C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17.5</w:t>
            </w:r>
          </w:p>
        </w:tc>
        <w:tc>
          <w:tcPr>
            <w:tcW w:w="860" w:type="dxa"/>
            <w:tcBorders>
              <w:top w:val="nil"/>
              <w:left w:val="nil"/>
              <w:bottom w:val="single" w:sz="4" w:space="0" w:color="auto"/>
              <w:right w:val="single" w:sz="4" w:space="0" w:color="auto"/>
            </w:tcBorders>
            <w:shd w:val="clear" w:color="000000" w:fill="FFFFFF"/>
            <w:noWrap/>
            <w:vAlign w:val="bottom"/>
            <w:hideMark/>
          </w:tcPr>
          <w:p w14:paraId="58FD132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1.25%</w:t>
            </w:r>
          </w:p>
        </w:tc>
        <w:tc>
          <w:tcPr>
            <w:tcW w:w="860" w:type="dxa"/>
            <w:tcBorders>
              <w:top w:val="nil"/>
              <w:left w:val="nil"/>
              <w:bottom w:val="single" w:sz="4" w:space="0" w:color="auto"/>
              <w:right w:val="single" w:sz="4" w:space="0" w:color="auto"/>
            </w:tcBorders>
            <w:shd w:val="clear" w:color="000000" w:fill="FFFFFF"/>
            <w:noWrap/>
            <w:vAlign w:val="bottom"/>
            <w:hideMark/>
          </w:tcPr>
          <w:p w14:paraId="7FD3DA0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3.24%</w:t>
            </w:r>
          </w:p>
        </w:tc>
        <w:tc>
          <w:tcPr>
            <w:tcW w:w="860" w:type="dxa"/>
            <w:tcBorders>
              <w:top w:val="nil"/>
              <w:left w:val="nil"/>
              <w:bottom w:val="single" w:sz="4" w:space="0" w:color="auto"/>
              <w:right w:val="single" w:sz="4" w:space="0" w:color="auto"/>
            </w:tcBorders>
            <w:shd w:val="clear" w:color="000000" w:fill="FFFFFF"/>
            <w:noWrap/>
            <w:vAlign w:val="bottom"/>
            <w:hideMark/>
          </w:tcPr>
          <w:p w14:paraId="7D5F9D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1.60%</w:t>
            </w:r>
          </w:p>
        </w:tc>
        <w:tc>
          <w:tcPr>
            <w:tcW w:w="1248" w:type="dxa"/>
            <w:tcBorders>
              <w:top w:val="nil"/>
              <w:left w:val="nil"/>
              <w:bottom w:val="single" w:sz="4" w:space="0" w:color="auto"/>
              <w:right w:val="single" w:sz="4" w:space="0" w:color="auto"/>
            </w:tcBorders>
            <w:shd w:val="clear" w:color="000000" w:fill="FFFFFF"/>
            <w:noWrap/>
            <w:vAlign w:val="bottom"/>
            <w:hideMark/>
          </w:tcPr>
          <w:p w14:paraId="5818CE3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99.8</w:t>
            </w:r>
          </w:p>
        </w:tc>
      </w:tr>
      <w:tr w:rsidR="00B97B6A" w:rsidRPr="00F96EBF" w14:paraId="3BC10B66"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67DE18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Extremadura</w:t>
            </w:r>
          </w:p>
        </w:tc>
        <w:tc>
          <w:tcPr>
            <w:tcW w:w="835" w:type="dxa"/>
            <w:tcBorders>
              <w:top w:val="nil"/>
              <w:left w:val="nil"/>
              <w:bottom w:val="single" w:sz="4" w:space="0" w:color="auto"/>
              <w:right w:val="single" w:sz="4" w:space="0" w:color="auto"/>
            </w:tcBorders>
            <w:shd w:val="clear" w:color="000000" w:fill="FFFFFF"/>
            <w:noWrap/>
            <w:vAlign w:val="bottom"/>
            <w:hideMark/>
          </w:tcPr>
          <w:p w14:paraId="66419D6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13.9</w:t>
            </w:r>
          </w:p>
        </w:tc>
        <w:tc>
          <w:tcPr>
            <w:tcW w:w="850" w:type="dxa"/>
            <w:tcBorders>
              <w:top w:val="nil"/>
              <w:left w:val="nil"/>
              <w:bottom w:val="single" w:sz="4" w:space="0" w:color="auto"/>
              <w:right w:val="single" w:sz="4" w:space="0" w:color="auto"/>
            </w:tcBorders>
            <w:shd w:val="clear" w:color="000000" w:fill="FFFFFF"/>
            <w:noWrap/>
            <w:vAlign w:val="bottom"/>
            <w:hideMark/>
          </w:tcPr>
          <w:p w14:paraId="7E41774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16.5</w:t>
            </w:r>
          </w:p>
        </w:tc>
        <w:tc>
          <w:tcPr>
            <w:tcW w:w="860" w:type="dxa"/>
            <w:tcBorders>
              <w:top w:val="nil"/>
              <w:left w:val="nil"/>
              <w:bottom w:val="single" w:sz="4" w:space="0" w:color="auto"/>
              <w:right w:val="single" w:sz="4" w:space="0" w:color="auto"/>
            </w:tcBorders>
            <w:shd w:val="clear" w:color="000000" w:fill="FFFFFF"/>
            <w:noWrap/>
            <w:vAlign w:val="bottom"/>
            <w:hideMark/>
          </w:tcPr>
          <w:p w14:paraId="308AA5D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1.65%</w:t>
            </w:r>
          </w:p>
        </w:tc>
        <w:tc>
          <w:tcPr>
            <w:tcW w:w="860" w:type="dxa"/>
            <w:tcBorders>
              <w:top w:val="nil"/>
              <w:left w:val="nil"/>
              <w:bottom w:val="single" w:sz="4" w:space="0" w:color="auto"/>
              <w:right w:val="single" w:sz="4" w:space="0" w:color="auto"/>
            </w:tcBorders>
            <w:shd w:val="clear" w:color="000000" w:fill="FFFFFF"/>
            <w:noWrap/>
            <w:vAlign w:val="bottom"/>
            <w:hideMark/>
          </w:tcPr>
          <w:p w14:paraId="5209972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2.88%</w:t>
            </w:r>
          </w:p>
        </w:tc>
        <w:tc>
          <w:tcPr>
            <w:tcW w:w="860" w:type="dxa"/>
            <w:tcBorders>
              <w:top w:val="nil"/>
              <w:left w:val="nil"/>
              <w:bottom w:val="single" w:sz="4" w:space="0" w:color="auto"/>
              <w:right w:val="single" w:sz="4" w:space="0" w:color="auto"/>
            </w:tcBorders>
            <w:shd w:val="clear" w:color="000000" w:fill="FFFFFF"/>
            <w:noWrap/>
            <w:vAlign w:val="bottom"/>
            <w:hideMark/>
          </w:tcPr>
          <w:p w14:paraId="54F88FC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1.33%</w:t>
            </w:r>
          </w:p>
        </w:tc>
        <w:tc>
          <w:tcPr>
            <w:tcW w:w="1248" w:type="dxa"/>
            <w:tcBorders>
              <w:top w:val="nil"/>
              <w:left w:val="nil"/>
              <w:bottom w:val="single" w:sz="4" w:space="0" w:color="auto"/>
              <w:right w:val="single" w:sz="4" w:space="0" w:color="auto"/>
            </w:tcBorders>
            <w:shd w:val="clear" w:color="000000" w:fill="FFFFFF"/>
            <w:noWrap/>
            <w:vAlign w:val="bottom"/>
            <w:hideMark/>
          </w:tcPr>
          <w:p w14:paraId="5EB0B29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94.6</w:t>
            </w:r>
          </w:p>
        </w:tc>
      </w:tr>
      <w:tr w:rsidR="00B97B6A" w:rsidRPr="00F96EBF" w14:paraId="7609E3E2"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7DF2423"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Galicia</w:t>
            </w:r>
          </w:p>
        </w:tc>
        <w:tc>
          <w:tcPr>
            <w:tcW w:w="835" w:type="dxa"/>
            <w:tcBorders>
              <w:top w:val="nil"/>
              <w:left w:val="nil"/>
              <w:bottom w:val="single" w:sz="4" w:space="0" w:color="auto"/>
              <w:right w:val="single" w:sz="4" w:space="0" w:color="auto"/>
            </w:tcBorders>
            <w:shd w:val="clear" w:color="000000" w:fill="FFFFFF"/>
            <w:noWrap/>
            <w:vAlign w:val="bottom"/>
            <w:hideMark/>
          </w:tcPr>
          <w:p w14:paraId="467A5BF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14.8</w:t>
            </w:r>
          </w:p>
        </w:tc>
        <w:tc>
          <w:tcPr>
            <w:tcW w:w="850" w:type="dxa"/>
            <w:tcBorders>
              <w:top w:val="nil"/>
              <w:left w:val="nil"/>
              <w:bottom w:val="single" w:sz="4" w:space="0" w:color="auto"/>
              <w:right w:val="single" w:sz="4" w:space="0" w:color="auto"/>
            </w:tcBorders>
            <w:shd w:val="clear" w:color="000000" w:fill="FFFFFF"/>
            <w:noWrap/>
            <w:vAlign w:val="bottom"/>
            <w:hideMark/>
          </w:tcPr>
          <w:p w14:paraId="5F27A36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17.7</w:t>
            </w:r>
          </w:p>
        </w:tc>
        <w:tc>
          <w:tcPr>
            <w:tcW w:w="860" w:type="dxa"/>
            <w:tcBorders>
              <w:top w:val="nil"/>
              <w:left w:val="nil"/>
              <w:bottom w:val="single" w:sz="4" w:space="0" w:color="auto"/>
              <w:right w:val="single" w:sz="4" w:space="0" w:color="auto"/>
            </w:tcBorders>
            <w:shd w:val="clear" w:color="000000" w:fill="FFFFFF"/>
            <w:noWrap/>
            <w:vAlign w:val="bottom"/>
            <w:hideMark/>
          </w:tcPr>
          <w:p w14:paraId="0EB4332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1.40%</w:t>
            </w:r>
          </w:p>
        </w:tc>
        <w:tc>
          <w:tcPr>
            <w:tcW w:w="860" w:type="dxa"/>
            <w:tcBorders>
              <w:top w:val="nil"/>
              <w:left w:val="nil"/>
              <w:bottom w:val="single" w:sz="4" w:space="0" w:color="auto"/>
              <w:right w:val="single" w:sz="4" w:space="0" w:color="auto"/>
            </w:tcBorders>
            <w:shd w:val="clear" w:color="000000" w:fill="FFFFFF"/>
            <w:noWrap/>
            <w:vAlign w:val="bottom"/>
            <w:hideMark/>
          </w:tcPr>
          <w:p w14:paraId="321B5AB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3.07%</w:t>
            </w:r>
          </w:p>
        </w:tc>
        <w:tc>
          <w:tcPr>
            <w:tcW w:w="860" w:type="dxa"/>
            <w:tcBorders>
              <w:top w:val="nil"/>
              <w:left w:val="nil"/>
              <w:bottom w:val="single" w:sz="4" w:space="0" w:color="auto"/>
              <w:right w:val="single" w:sz="4" w:space="0" w:color="auto"/>
            </w:tcBorders>
            <w:shd w:val="clear" w:color="000000" w:fill="FFFFFF"/>
            <w:noWrap/>
            <w:vAlign w:val="bottom"/>
            <w:hideMark/>
          </w:tcPr>
          <w:p w14:paraId="5E74593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1.41%</w:t>
            </w:r>
          </w:p>
        </w:tc>
        <w:tc>
          <w:tcPr>
            <w:tcW w:w="1248" w:type="dxa"/>
            <w:tcBorders>
              <w:top w:val="nil"/>
              <w:left w:val="nil"/>
              <w:bottom w:val="single" w:sz="4" w:space="0" w:color="auto"/>
              <w:right w:val="single" w:sz="4" w:space="0" w:color="auto"/>
            </w:tcBorders>
            <w:shd w:val="clear" w:color="000000" w:fill="FFFFFF"/>
            <w:noWrap/>
            <w:vAlign w:val="bottom"/>
            <w:hideMark/>
          </w:tcPr>
          <w:p w14:paraId="308EEC3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101.2</w:t>
            </w:r>
          </w:p>
        </w:tc>
      </w:tr>
      <w:tr w:rsidR="00B97B6A" w:rsidRPr="00F96EBF" w14:paraId="7F6D8A78"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4783B6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Madrid</w:t>
            </w:r>
          </w:p>
        </w:tc>
        <w:tc>
          <w:tcPr>
            <w:tcW w:w="835" w:type="dxa"/>
            <w:tcBorders>
              <w:top w:val="nil"/>
              <w:left w:val="nil"/>
              <w:bottom w:val="single" w:sz="4" w:space="0" w:color="auto"/>
              <w:right w:val="single" w:sz="4" w:space="0" w:color="auto"/>
            </w:tcBorders>
            <w:shd w:val="clear" w:color="000000" w:fill="FFFFFF"/>
            <w:noWrap/>
            <w:vAlign w:val="bottom"/>
            <w:hideMark/>
          </w:tcPr>
          <w:p w14:paraId="438ACFD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15.3</w:t>
            </w:r>
          </w:p>
        </w:tc>
        <w:tc>
          <w:tcPr>
            <w:tcW w:w="850" w:type="dxa"/>
            <w:tcBorders>
              <w:top w:val="nil"/>
              <w:left w:val="nil"/>
              <w:bottom w:val="single" w:sz="4" w:space="0" w:color="auto"/>
              <w:right w:val="single" w:sz="4" w:space="0" w:color="auto"/>
            </w:tcBorders>
            <w:shd w:val="clear" w:color="000000" w:fill="FFFFFF"/>
            <w:noWrap/>
            <w:vAlign w:val="bottom"/>
            <w:hideMark/>
          </w:tcPr>
          <w:p w14:paraId="3F53DEE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18.9</w:t>
            </w:r>
          </w:p>
        </w:tc>
        <w:tc>
          <w:tcPr>
            <w:tcW w:w="860" w:type="dxa"/>
            <w:tcBorders>
              <w:top w:val="nil"/>
              <w:left w:val="nil"/>
              <w:bottom w:val="single" w:sz="4" w:space="0" w:color="auto"/>
              <w:right w:val="single" w:sz="4" w:space="0" w:color="auto"/>
            </w:tcBorders>
            <w:shd w:val="clear" w:color="000000" w:fill="FFFFFF"/>
            <w:noWrap/>
            <w:vAlign w:val="bottom"/>
            <w:hideMark/>
          </w:tcPr>
          <w:p w14:paraId="0F9AB9B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1.12%</w:t>
            </w:r>
          </w:p>
        </w:tc>
        <w:tc>
          <w:tcPr>
            <w:tcW w:w="860" w:type="dxa"/>
            <w:tcBorders>
              <w:top w:val="nil"/>
              <w:left w:val="nil"/>
              <w:bottom w:val="single" w:sz="4" w:space="0" w:color="auto"/>
              <w:right w:val="single" w:sz="4" w:space="0" w:color="auto"/>
            </w:tcBorders>
            <w:shd w:val="clear" w:color="000000" w:fill="FFFFFF"/>
            <w:noWrap/>
            <w:vAlign w:val="bottom"/>
            <w:hideMark/>
          </w:tcPr>
          <w:p w14:paraId="3DD3F9C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3.89%</w:t>
            </w:r>
          </w:p>
        </w:tc>
        <w:tc>
          <w:tcPr>
            <w:tcW w:w="860" w:type="dxa"/>
            <w:tcBorders>
              <w:top w:val="nil"/>
              <w:left w:val="nil"/>
              <w:bottom w:val="single" w:sz="4" w:space="0" w:color="auto"/>
              <w:right w:val="single" w:sz="4" w:space="0" w:color="auto"/>
            </w:tcBorders>
            <w:shd w:val="clear" w:color="000000" w:fill="FFFFFF"/>
            <w:noWrap/>
            <w:vAlign w:val="bottom"/>
            <w:hideMark/>
          </w:tcPr>
          <w:p w14:paraId="0822F02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1.61%</w:t>
            </w:r>
          </w:p>
        </w:tc>
        <w:tc>
          <w:tcPr>
            <w:tcW w:w="1248" w:type="dxa"/>
            <w:tcBorders>
              <w:top w:val="nil"/>
              <w:left w:val="nil"/>
              <w:bottom w:val="single" w:sz="4" w:space="0" w:color="auto"/>
              <w:right w:val="single" w:sz="4" w:space="0" w:color="auto"/>
            </w:tcBorders>
            <w:shd w:val="clear" w:color="000000" w:fill="FFFFFF"/>
            <w:noWrap/>
            <w:vAlign w:val="bottom"/>
            <w:hideMark/>
          </w:tcPr>
          <w:p w14:paraId="3F6421B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107.8</w:t>
            </w:r>
          </w:p>
        </w:tc>
      </w:tr>
      <w:tr w:rsidR="00B97B6A" w:rsidRPr="00F96EBF" w14:paraId="31CE3AA5"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8661182"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Murcia</w:t>
            </w:r>
          </w:p>
        </w:tc>
        <w:tc>
          <w:tcPr>
            <w:tcW w:w="835" w:type="dxa"/>
            <w:tcBorders>
              <w:top w:val="nil"/>
              <w:left w:val="nil"/>
              <w:bottom w:val="single" w:sz="4" w:space="0" w:color="auto"/>
              <w:right w:val="single" w:sz="4" w:space="0" w:color="auto"/>
            </w:tcBorders>
            <w:shd w:val="clear" w:color="000000" w:fill="FFFFFF"/>
            <w:noWrap/>
            <w:vAlign w:val="bottom"/>
            <w:hideMark/>
          </w:tcPr>
          <w:p w14:paraId="6EBA821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14.1</w:t>
            </w:r>
          </w:p>
        </w:tc>
        <w:tc>
          <w:tcPr>
            <w:tcW w:w="850" w:type="dxa"/>
            <w:tcBorders>
              <w:top w:val="nil"/>
              <w:left w:val="nil"/>
              <w:bottom w:val="single" w:sz="4" w:space="0" w:color="auto"/>
              <w:right w:val="single" w:sz="4" w:space="0" w:color="auto"/>
            </w:tcBorders>
            <w:shd w:val="clear" w:color="000000" w:fill="FFFFFF"/>
            <w:noWrap/>
            <w:vAlign w:val="bottom"/>
            <w:hideMark/>
          </w:tcPr>
          <w:p w14:paraId="041C97D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17.1</w:t>
            </w:r>
          </w:p>
        </w:tc>
        <w:tc>
          <w:tcPr>
            <w:tcW w:w="860" w:type="dxa"/>
            <w:tcBorders>
              <w:top w:val="nil"/>
              <w:left w:val="nil"/>
              <w:bottom w:val="single" w:sz="4" w:space="0" w:color="auto"/>
              <w:right w:val="single" w:sz="4" w:space="0" w:color="auto"/>
            </w:tcBorders>
            <w:shd w:val="clear" w:color="000000" w:fill="FFFFFF"/>
            <w:noWrap/>
            <w:vAlign w:val="bottom"/>
            <w:hideMark/>
          </w:tcPr>
          <w:p w14:paraId="57FA395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1.06%</w:t>
            </w:r>
          </w:p>
        </w:tc>
        <w:tc>
          <w:tcPr>
            <w:tcW w:w="860" w:type="dxa"/>
            <w:tcBorders>
              <w:top w:val="nil"/>
              <w:left w:val="nil"/>
              <w:bottom w:val="single" w:sz="4" w:space="0" w:color="auto"/>
              <w:right w:val="single" w:sz="4" w:space="0" w:color="auto"/>
            </w:tcBorders>
            <w:shd w:val="clear" w:color="000000" w:fill="FFFFFF"/>
            <w:noWrap/>
            <w:vAlign w:val="bottom"/>
            <w:hideMark/>
          </w:tcPr>
          <w:p w14:paraId="3577CDA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3.30%</w:t>
            </w:r>
          </w:p>
        </w:tc>
        <w:tc>
          <w:tcPr>
            <w:tcW w:w="860" w:type="dxa"/>
            <w:tcBorders>
              <w:top w:val="nil"/>
              <w:left w:val="nil"/>
              <w:bottom w:val="single" w:sz="4" w:space="0" w:color="auto"/>
              <w:right w:val="single" w:sz="4" w:space="0" w:color="auto"/>
            </w:tcBorders>
            <w:shd w:val="clear" w:color="000000" w:fill="FFFFFF"/>
            <w:noWrap/>
            <w:vAlign w:val="bottom"/>
            <w:hideMark/>
          </w:tcPr>
          <w:p w14:paraId="501A295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1.52%</w:t>
            </w:r>
          </w:p>
        </w:tc>
        <w:tc>
          <w:tcPr>
            <w:tcW w:w="1248" w:type="dxa"/>
            <w:tcBorders>
              <w:top w:val="nil"/>
              <w:left w:val="nil"/>
              <w:bottom w:val="single" w:sz="4" w:space="0" w:color="auto"/>
              <w:right w:val="single" w:sz="4" w:space="0" w:color="auto"/>
            </w:tcBorders>
            <w:shd w:val="clear" w:color="000000" w:fill="FFFFFF"/>
            <w:noWrap/>
            <w:vAlign w:val="bottom"/>
            <w:hideMark/>
          </w:tcPr>
          <w:p w14:paraId="16B17B2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98</w:t>
            </w:r>
          </w:p>
        </w:tc>
      </w:tr>
      <w:tr w:rsidR="00B97B6A" w:rsidRPr="00F96EBF" w14:paraId="23E22E66"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FAC9D9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Navarre</w:t>
            </w:r>
          </w:p>
        </w:tc>
        <w:tc>
          <w:tcPr>
            <w:tcW w:w="835" w:type="dxa"/>
            <w:tcBorders>
              <w:top w:val="nil"/>
              <w:left w:val="nil"/>
              <w:bottom w:val="single" w:sz="4" w:space="0" w:color="auto"/>
              <w:right w:val="single" w:sz="4" w:space="0" w:color="auto"/>
            </w:tcBorders>
            <w:shd w:val="clear" w:color="000000" w:fill="FFFFFF"/>
            <w:noWrap/>
            <w:vAlign w:val="bottom"/>
            <w:hideMark/>
          </w:tcPr>
          <w:p w14:paraId="2C27696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14.8</w:t>
            </w:r>
          </w:p>
        </w:tc>
        <w:tc>
          <w:tcPr>
            <w:tcW w:w="850" w:type="dxa"/>
            <w:tcBorders>
              <w:top w:val="nil"/>
              <w:left w:val="nil"/>
              <w:bottom w:val="single" w:sz="4" w:space="0" w:color="auto"/>
              <w:right w:val="single" w:sz="4" w:space="0" w:color="auto"/>
            </w:tcBorders>
            <w:shd w:val="clear" w:color="000000" w:fill="FFFFFF"/>
            <w:noWrap/>
            <w:vAlign w:val="bottom"/>
            <w:hideMark/>
          </w:tcPr>
          <w:p w14:paraId="7F0448D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w:t>
            </w:r>
          </w:p>
        </w:tc>
        <w:tc>
          <w:tcPr>
            <w:tcW w:w="860" w:type="dxa"/>
            <w:tcBorders>
              <w:top w:val="nil"/>
              <w:left w:val="nil"/>
              <w:bottom w:val="single" w:sz="4" w:space="0" w:color="auto"/>
              <w:right w:val="single" w:sz="4" w:space="0" w:color="auto"/>
            </w:tcBorders>
            <w:shd w:val="clear" w:color="000000" w:fill="FFFFFF"/>
            <w:noWrap/>
            <w:vAlign w:val="bottom"/>
            <w:hideMark/>
          </w:tcPr>
          <w:p w14:paraId="626A926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0.92%</w:t>
            </w:r>
          </w:p>
        </w:tc>
        <w:tc>
          <w:tcPr>
            <w:tcW w:w="860" w:type="dxa"/>
            <w:tcBorders>
              <w:top w:val="nil"/>
              <w:left w:val="nil"/>
              <w:bottom w:val="single" w:sz="4" w:space="0" w:color="auto"/>
              <w:right w:val="single" w:sz="4" w:space="0" w:color="auto"/>
            </w:tcBorders>
            <w:shd w:val="clear" w:color="000000" w:fill="FFFFFF"/>
            <w:noWrap/>
            <w:vAlign w:val="bottom"/>
            <w:hideMark/>
          </w:tcPr>
          <w:p w14:paraId="2D7F6BD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2.12%</w:t>
            </w:r>
          </w:p>
        </w:tc>
        <w:tc>
          <w:tcPr>
            <w:tcW w:w="860" w:type="dxa"/>
            <w:tcBorders>
              <w:top w:val="nil"/>
              <w:left w:val="nil"/>
              <w:bottom w:val="single" w:sz="4" w:space="0" w:color="auto"/>
              <w:right w:val="single" w:sz="4" w:space="0" w:color="auto"/>
            </w:tcBorders>
            <w:shd w:val="clear" w:color="000000" w:fill="FFFFFF"/>
            <w:noWrap/>
            <w:vAlign w:val="bottom"/>
            <w:hideMark/>
          </w:tcPr>
          <w:p w14:paraId="0C58B23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w:t>
            </w:r>
          </w:p>
        </w:tc>
        <w:tc>
          <w:tcPr>
            <w:tcW w:w="1248" w:type="dxa"/>
            <w:tcBorders>
              <w:top w:val="nil"/>
              <w:left w:val="nil"/>
              <w:bottom w:val="single" w:sz="4" w:space="0" w:color="auto"/>
              <w:right w:val="single" w:sz="4" w:space="0" w:color="auto"/>
            </w:tcBorders>
            <w:shd w:val="clear" w:color="000000" w:fill="FFFFFF"/>
            <w:noWrap/>
            <w:vAlign w:val="bottom"/>
            <w:hideMark/>
          </w:tcPr>
          <w:p w14:paraId="41BA51D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97.1</w:t>
            </w:r>
          </w:p>
        </w:tc>
      </w:tr>
      <w:tr w:rsidR="00B97B6A" w:rsidRPr="00F96EBF" w14:paraId="3CA1D1F4"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71AC69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La Rioja</w:t>
            </w:r>
          </w:p>
        </w:tc>
        <w:tc>
          <w:tcPr>
            <w:tcW w:w="835" w:type="dxa"/>
            <w:tcBorders>
              <w:top w:val="nil"/>
              <w:left w:val="nil"/>
              <w:bottom w:val="single" w:sz="4" w:space="0" w:color="auto"/>
              <w:right w:val="single" w:sz="4" w:space="0" w:color="auto"/>
            </w:tcBorders>
            <w:shd w:val="clear" w:color="000000" w:fill="FFFFFF"/>
            <w:noWrap/>
            <w:vAlign w:val="bottom"/>
            <w:hideMark/>
          </w:tcPr>
          <w:p w14:paraId="19423A6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w:t>
            </w:r>
          </w:p>
        </w:tc>
        <w:tc>
          <w:tcPr>
            <w:tcW w:w="850" w:type="dxa"/>
            <w:tcBorders>
              <w:top w:val="nil"/>
              <w:left w:val="nil"/>
              <w:bottom w:val="single" w:sz="4" w:space="0" w:color="auto"/>
              <w:right w:val="single" w:sz="4" w:space="0" w:color="auto"/>
            </w:tcBorders>
            <w:shd w:val="clear" w:color="000000" w:fill="FFFFFF"/>
            <w:noWrap/>
            <w:vAlign w:val="bottom"/>
            <w:hideMark/>
          </w:tcPr>
          <w:p w14:paraId="1CC7FC5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20.7</w:t>
            </w:r>
          </w:p>
        </w:tc>
        <w:tc>
          <w:tcPr>
            <w:tcW w:w="860" w:type="dxa"/>
            <w:tcBorders>
              <w:top w:val="nil"/>
              <w:left w:val="nil"/>
              <w:bottom w:val="single" w:sz="4" w:space="0" w:color="auto"/>
              <w:right w:val="single" w:sz="4" w:space="0" w:color="auto"/>
            </w:tcBorders>
            <w:shd w:val="clear" w:color="000000" w:fill="FFFFFF"/>
            <w:noWrap/>
            <w:vAlign w:val="bottom"/>
            <w:hideMark/>
          </w:tcPr>
          <w:p w14:paraId="3F28EE9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0.91%</w:t>
            </w:r>
          </w:p>
        </w:tc>
        <w:tc>
          <w:tcPr>
            <w:tcW w:w="860" w:type="dxa"/>
            <w:tcBorders>
              <w:top w:val="nil"/>
              <w:left w:val="nil"/>
              <w:bottom w:val="single" w:sz="4" w:space="0" w:color="auto"/>
              <w:right w:val="single" w:sz="4" w:space="0" w:color="auto"/>
            </w:tcBorders>
            <w:shd w:val="clear" w:color="000000" w:fill="FFFFFF"/>
            <w:noWrap/>
            <w:vAlign w:val="bottom"/>
            <w:hideMark/>
          </w:tcPr>
          <w:p w14:paraId="20563E9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7.12%</w:t>
            </w:r>
          </w:p>
        </w:tc>
        <w:tc>
          <w:tcPr>
            <w:tcW w:w="860" w:type="dxa"/>
            <w:tcBorders>
              <w:top w:val="nil"/>
              <w:left w:val="nil"/>
              <w:bottom w:val="single" w:sz="4" w:space="0" w:color="auto"/>
              <w:right w:val="single" w:sz="4" w:space="0" w:color="auto"/>
            </w:tcBorders>
            <w:shd w:val="clear" w:color="000000" w:fill="FFFFFF"/>
            <w:noWrap/>
            <w:vAlign w:val="bottom"/>
            <w:hideMark/>
          </w:tcPr>
          <w:p w14:paraId="27AD27D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3.02%</w:t>
            </w:r>
          </w:p>
        </w:tc>
        <w:tc>
          <w:tcPr>
            <w:tcW w:w="1248" w:type="dxa"/>
            <w:tcBorders>
              <w:top w:val="nil"/>
              <w:left w:val="nil"/>
              <w:bottom w:val="single" w:sz="4" w:space="0" w:color="auto"/>
              <w:right w:val="single" w:sz="4" w:space="0" w:color="auto"/>
            </w:tcBorders>
            <w:shd w:val="clear" w:color="000000" w:fill="FFFFFF"/>
            <w:noWrap/>
            <w:vAlign w:val="bottom"/>
            <w:hideMark/>
          </w:tcPr>
          <w:p w14:paraId="38DE20E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118.2</w:t>
            </w:r>
          </w:p>
        </w:tc>
      </w:tr>
      <w:tr w:rsidR="00B97B6A" w:rsidRPr="00F96EBF" w14:paraId="39A0CCC7"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7005DC7"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Valencian Community</w:t>
            </w:r>
          </w:p>
        </w:tc>
        <w:tc>
          <w:tcPr>
            <w:tcW w:w="835" w:type="dxa"/>
            <w:tcBorders>
              <w:top w:val="nil"/>
              <w:left w:val="nil"/>
              <w:bottom w:val="single" w:sz="4" w:space="0" w:color="auto"/>
              <w:right w:val="single" w:sz="4" w:space="0" w:color="auto"/>
            </w:tcBorders>
            <w:shd w:val="clear" w:color="000000" w:fill="FFFFFF"/>
            <w:noWrap/>
            <w:vAlign w:val="bottom"/>
            <w:hideMark/>
          </w:tcPr>
          <w:p w14:paraId="541A507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14.3</w:t>
            </w:r>
          </w:p>
        </w:tc>
        <w:tc>
          <w:tcPr>
            <w:tcW w:w="850" w:type="dxa"/>
            <w:tcBorders>
              <w:top w:val="nil"/>
              <w:left w:val="nil"/>
              <w:bottom w:val="single" w:sz="4" w:space="0" w:color="auto"/>
              <w:right w:val="single" w:sz="4" w:space="0" w:color="auto"/>
            </w:tcBorders>
            <w:shd w:val="clear" w:color="000000" w:fill="FFFFFF"/>
            <w:noWrap/>
            <w:vAlign w:val="bottom"/>
            <w:hideMark/>
          </w:tcPr>
          <w:p w14:paraId="108ECA4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17.7</w:t>
            </w:r>
          </w:p>
        </w:tc>
        <w:tc>
          <w:tcPr>
            <w:tcW w:w="860" w:type="dxa"/>
            <w:tcBorders>
              <w:top w:val="nil"/>
              <w:left w:val="nil"/>
              <w:bottom w:val="single" w:sz="4" w:space="0" w:color="auto"/>
              <w:right w:val="single" w:sz="4" w:space="0" w:color="auto"/>
            </w:tcBorders>
            <w:shd w:val="clear" w:color="000000" w:fill="FFFFFF"/>
            <w:noWrap/>
            <w:vAlign w:val="bottom"/>
            <w:hideMark/>
          </w:tcPr>
          <w:p w14:paraId="50F25A0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1.32%</w:t>
            </w:r>
          </w:p>
        </w:tc>
        <w:tc>
          <w:tcPr>
            <w:tcW w:w="860" w:type="dxa"/>
            <w:tcBorders>
              <w:top w:val="nil"/>
              <w:left w:val="nil"/>
              <w:bottom w:val="single" w:sz="4" w:space="0" w:color="auto"/>
              <w:right w:val="single" w:sz="4" w:space="0" w:color="auto"/>
            </w:tcBorders>
            <w:shd w:val="clear" w:color="000000" w:fill="FFFFFF"/>
            <w:noWrap/>
            <w:vAlign w:val="bottom"/>
            <w:hideMark/>
          </w:tcPr>
          <w:p w14:paraId="7C74E21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3.86%</w:t>
            </w:r>
          </w:p>
        </w:tc>
        <w:tc>
          <w:tcPr>
            <w:tcW w:w="860" w:type="dxa"/>
            <w:tcBorders>
              <w:top w:val="nil"/>
              <w:left w:val="nil"/>
              <w:bottom w:val="single" w:sz="4" w:space="0" w:color="auto"/>
              <w:right w:val="single" w:sz="4" w:space="0" w:color="auto"/>
            </w:tcBorders>
            <w:shd w:val="clear" w:color="000000" w:fill="FFFFFF"/>
            <w:noWrap/>
            <w:vAlign w:val="bottom"/>
            <w:hideMark/>
          </w:tcPr>
          <w:p w14:paraId="2B133A0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1.65%</w:t>
            </w:r>
          </w:p>
        </w:tc>
        <w:tc>
          <w:tcPr>
            <w:tcW w:w="1248" w:type="dxa"/>
            <w:tcBorders>
              <w:top w:val="nil"/>
              <w:left w:val="nil"/>
              <w:bottom w:val="single" w:sz="4" w:space="0" w:color="auto"/>
              <w:right w:val="single" w:sz="4" w:space="0" w:color="auto"/>
            </w:tcBorders>
            <w:shd w:val="clear" w:color="000000" w:fill="FFFFFF"/>
            <w:noWrap/>
            <w:vAlign w:val="bottom"/>
            <w:hideMark/>
          </w:tcPr>
          <w:p w14:paraId="1BA5906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w:t>
            </w:r>
          </w:p>
        </w:tc>
      </w:tr>
      <w:tr w:rsidR="00B97B6A" w:rsidRPr="00F96EBF" w14:paraId="22FF6C8E"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8DCCB94"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Spain</w:t>
            </w:r>
          </w:p>
        </w:tc>
        <w:tc>
          <w:tcPr>
            <w:tcW w:w="835" w:type="dxa"/>
            <w:tcBorders>
              <w:top w:val="nil"/>
              <w:left w:val="nil"/>
              <w:bottom w:val="single" w:sz="4" w:space="0" w:color="auto"/>
              <w:right w:val="single" w:sz="4" w:space="0" w:color="auto"/>
            </w:tcBorders>
            <w:shd w:val="clear" w:color="000000" w:fill="FFFFFF"/>
            <w:noWrap/>
            <w:vAlign w:val="bottom"/>
            <w:hideMark/>
          </w:tcPr>
          <w:p w14:paraId="797ACC1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14.5</w:t>
            </w:r>
          </w:p>
        </w:tc>
        <w:tc>
          <w:tcPr>
            <w:tcW w:w="850" w:type="dxa"/>
            <w:tcBorders>
              <w:top w:val="nil"/>
              <w:left w:val="nil"/>
              <w:bottom w:val="single" w:sz="4" w:space="0" w:color="auto"/>
              <w:right w:val="single" w:sz="4" w:space="0" w:color="auto"/>
            </w:tcBorders>
            <w:shd w:val="clear" w:color="000000" w:fill="FFFFFF"/>
            <w:noWrap/>
            <w:vAlign w:val="bottom"/>
            <w:hideMark/>
          </w:tcPr>
          <w:p w14:paraId="76F3D08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17.5</w:t>
            </w:r>
          </w:p>
        </w:tc>
        <w:tc>
          <w:tcPr>
            <w:tcW w:w="860" w:type="dxa"/>
            <w:tcBorders>
              <w:top w:val="nil"/>
              <w:left w:val="nil"/>
              <w:bottom w:val="single" w:sz="4" w:space="0" w:color="auto"/>
              <w:right w:val="single" w:sz="4" w:space="0" w:color="auto"/>
            </w:tcBorders>
            <w:shd w:val="clear" w:color="000000" w:fill="FFFFFF"/>
            <w:noWrap/>
            <w:vAlign w:val="bottom"/>
            <w:hideMark/>
          </w:tcPr>
          <w:p w14:paraId="02941DA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1.48%</w:t>
            </w:r>
          </w:p>
        </w:tc>
        <w:tc>
          <w:tcPr>
            <w:tcW w:w="860" w:type="dxa"/>
            <w:tcBorders>
              <w:top w:val="nil"/>
              <w:left w:val="nil"/>
              <w:bottom w:val="single" w:sz="4" w:space="0" w:color="auto"/>
              <w:right w:val="single" w:sz="4" w:space="0" w:color="auto"/>
            </w:tcBorders>
            <w:shd w:val="clear" w:color="000000" w:fill="FFFFFF"/>
            <w:noWrap/>
            <w:vAlign w:val="bottom"/>
            <w:hideMark/>
          </w:tcPr>
          <w:p w14:paraId="0742F36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3.20%</w:t>
            </w:r>
          </w:p>
        </w:tc>
        <w:tc>
          <w:tcPr>
            <w:tcW w:w="860" w:type="dxa"/>
            <w:tcBorders>
              <w:top w:val="nil"/>
              <w:left w:val="nil"/>
              <w:bottom w:val="single" w:sz="4" w:space="0" w:color="auto"/>
              <w:right w:val="single" w:sz="4" w:space="0" w:color="auto"/>
            </w:tcBorders>
            <w:shd w:val="clear" w:color="000000" w:fill="FFFFFF"/>
            <w:noWrap/>
            <w:vAlign w:val="bottom"/>
            <w:hideMark/>
          </w:tcPr>
          <w:p w14:paraId="2E7F83F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1.44%</w:t>
            </w:r>
          </w:p>
        </w:tc>
        <w:tc>
          <w:tcPr>
            <w:tcW w:w="1248" w:type="dxa"/>
            <w:tcBorders>
              <w:top w:val="nil"/>
              <w:left w:val="nil"/>
              <w:bottom w:val="single" w:sz="4" w:space="0" w:color="auto"/>
              <w:right w:val="single" w:sz="4" w:space="0" w:color="auto"/>
            </w:tcBorders>
            <w:shd w:val="clear" w:color="000000" w:fill="FFFFFF"/>
            <w:noWrap/>
            <w:vAlign w:val="bottom"/>
            <w:hideMark/>
          </w:tcPr>
          <w:p w14:paraId="6CF58BC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w:t>
            </w:r>
          </w:p>
        </w:tc>
      </w:tr>
    </w:tbl>
    <w:p w14:paraId="3BF44200" w14:textId="3CD40E16" w:rsidR="00310E38" w:rsidRPr="00EA17FE" w:rsidRDefault="00F26374" w:rsidP="006D08A5">
      <w:pPr>
        <w:rPr>
          <w:color w:val="000000" w:themeColor="text1"/>
          <w:sz w:val="22"/>
          <w:szCs w:val="22"/>
          <w:lang w:val="en-GB"/>
        </w:rPr>
      </w:pPr>
      <w:r w:rsidRPr="00813E8F">
        <w:rPr>
          <w:iCs/>
          <w:color w:val="000000" w:themeColor="text1"/>
          <w:sz w:val="22"/>
          <w:szCs w:val="22"/>
          <w:lang w:val="en-GB"/>
        </w:rPr>
        <w:t>Source:</w:t>
      </w:r>
      <w:r w:rsidRPr="00813E8F">
        <w:rPr>
          <w:i/>
          <w:color w:val="000000" w:themeColor="text1"/>
          <w:sz w:val="22"/>
          <w:szCs w:val="22"/>
          <w:lang w:val="en-GB"/>
        </w:rPr>
        <w:t xml:space="preserve"> </w:t>
      </w:r>
      <w:r w:rsidRPr="00813E8F">
        <w:rPr>
          <w:color w:val="000000" w:themeColor="text1"/>
          <w:sz w:val="22"/>
          <w:szCs w:val="22"/>
          <w:lang w:val="en-GB"/>
        </w:rPr>
        <w:t xml:space="preserve">Table constructed by authors </w:t>
      </w:r>
      <w:r w:rsidR="00310E38" w:rsidRPr="00813E8F">
        <w:rPr>
          <w:color w:val="000000" w:themeColor="text1"/>
          <w:sz w:val="22"/>
          <w:szCs w:val="22"/>
          <w:lang w:val="en-GB"/>
        </w:rPr>
        <w:t xml:space="preserve">using data from </w:t>
      </w:r>
      <w:proofErr w:type="spellStart"/>
      <w:r w:rsidR="007D73CD" w:rsidRPr="00EA17FE">
        <w:rPr>
          <w:color w:val="000000" w:themeColor="text1"/>
          <w:sz w:val="22"/>
          <w:szCs w:val="22"/>
          <w:lang w:val="en-GB"/>
        </w:rPr>
        <w:t>Ministerio</w:t>
      </w:r>
      <w:proofErr w:type="spellEnd"/>
      <w:r w:rsidR="007D73CD" w:rsidRPr="00EA17FE">
        <w:rPr>
          <w:color w:val="000000" w:themeColor="text1"/>
          <w:sz w:val="22"/>
          <w:szCs w:val="22"/>
          <w:lang w:val="en-GB"/>
        </w:rPr>
        <w:t xml:space="preserve"> de </w:t>
      </w:r>
      <w:proofErr w:type="spellStart"/>
      <w:r w:rsidR="007D73CD" w:rsidRPr="00EA17FE">
        <w:rPr>
          <w:color w:val="000000" w:themeColor="text1"/>
          <w:sz w:val="22"/>
          <w:szCs w:val="22"/>
          <w:lang w:val="en-GB"/>
        </w:rPr>
        <w:t>Educación</w:t>
      </w:r>
      <w:proofErr w:type="spellEnd"/>
      <w:r w:rsidR="007D73CD">
        <w:rPr>
          <w:color w:val="000000" w:themeColor="text1"/>
          <w:sz w:val="22"/>
          <w:szCs w:val="22"/>
          <w:lang w:val="en-GB"/>
        </w:rPr>
        <w:t xml:space="preserve"> y </w:t>
      </w:r>
      <w:proofErr w:type="spellStart"/>
      <w:r w:rsidR="007D73CD">
        <w:rPr>
          <w:color w:val="000000" w:themeColor="text1"/>
          <w:sz w:val="22"/>
          <w:szCs w:val="22"/>
          <w:lang w:val="en-GB"/>
        </w:rPr>
        <w:t>Formación</w:t>
      </w:r>
      <w:proofErr w:type="spellEnd"/>
      <w:r w:rsidR="007D73CD">
        <w:rPr>
          <w:color w:val="000000" w:themeColor="text1"/>
          <w:sz w:val="22"/>
          <w:szCs w:val="22"/>
          <w:lang w:val="en-GB"/>
        </w:rPr>
        <w:t xml:space="preserve"> </w:t>
      </w:r>
      <w:proofErr w:type="spellStart"/>
      <w:r w:rsidR="007D73CD">
        <w:rPr>
          <w:color w:val="000000" w:themeColor="text1"/>
          <w:sz w:val="22"/>
          <w:szCs w:val="22"/>
          <w:lang w:val="en-GB"/>
        </w:rPr>
        <w:t>Profesional</w:t>
      </w:r>
      <w:proofErr w:type="spellEnd"/>
      <w:r w:rsidR="00E22051">
        <w:rPr>
          <w:color w:val="000000" w:themeColor="text1"/>
          <w:sz w:val="22"/>
          <w:szCs w:val="22"/>
          <w:lang w:val="en-GB"/>
        </w:rPr>
        <w:t xml:space="preserve"> (2019)</w:t>
      </w:r>
    </w:p>
    <w:p w14:paraId="4FC32E60" w14:textId="77777777" w:rsidR="00EA17FE" w:rsidRPr="00813E8F" w:rsidRDefault="00EA17FE" w:rsidP="006D08A5">
      <w:pPr>
        <w:rPr>
          <w:color w:val="000000" w:themeColor="text1"/>
          <w:sz w:val="22"/>
          <w:szCs w:val="22"/>
          <w:lang w:val="en-GB"/>
        </w:rPr>
      </w:pPr>
    </w:p>
    <w:p w14:paraId="2494DF9B" w14:textId="7379BB56" w:rsidR="00310E38" w:rsidRPr="00F96EBF" w:rsidRDefault="00310E38" w:rsidP="006D08A5">
      <w:pPr>
        <w:keepNext/>
        <w:keepLines/>
        <w:rPr>
          <w:color w:val="000000" w:themeColor="text1"/>
          <w:lang w:val="en-GB"/>
        </w:rPr>
      </w:pPr>
      <w:bookmarkStart w:id="8" w:name="_Hlk2490127"/>
      <w:r w:rsidRPr="00813E8F">
        <w:rPr>
          <w:bCs/>
          <w:color w:val="000000" w:themeColor="text1"/>
          <w:lang w:val="en-GB"/>
        </w:rPr>
        <w:t xml:space="preserve">Table </w:t>
      </w:r>
      <w:r w:rsidR="00444FC1">
        <w:rPr>
          <w:bCs/>
          <w:color w:val="000000" w:themeColor="text1"/>
          <w:lang w:val="en-GB"/>
        </w:rPr>
        <w:t>4</w:t>
      </w:r>
      <w:r w:rsidRPr="00813E8F">
        <w:rPr>
          <w:bCs/>
          <w:color w:val="000000" w:themeColor="text1"/>
          <w:lang w:val="en-GB"/>
        </w:rPr>
        <w:t>.</w:t>
      </w:r>
      <w:r w:rsidRPr="00813E8F">
        <w:rPr>
          <w:b/>
          <w:color w:val="000000" w:themeColor="text1"/>
          <w:lang w:val="en-GB"/>
        </w:rPr>
        <w:t xml:space="preserve"> </w:t>
      </w:r>
      <w:r w:rsidRPr="00813E8F">
        <w:rPr>
          <w:color w:val="000000" w:themeColor="text1"/>
          <w:lang w:val="en-GB"/>
        </w:rPr>
        <w:t xml:space="preserve">Suitability </w:t>
      </w:r>
      <w:r w:rsidRPr="00F96EBF">
        <w:rPr>
          <w:color w:val="000000" w:themeColor="text1"/>
          <w:lang w:val="en-GB"/>
        </w:rPr>
        <w:t>rate at 15 years by region (%)</w:t>
      </w:r>
    </w:p>
    <w:bookmarkEnd w:id="8"/>
    <w:tbl>
      <w:tblPr>
        <w:tblW w:w="7513" w:type="dxa"/>
        <w:jc w:val="center"/>
        <w:tblCellMar>
          <w:left w:w="70" w:type="dxa"/>
          <w:right w:w="70" w:type="dxa"/>
        </w:tblCellMar>
        <w:tblLook w:val="04A0" w:firstRow="1" w:lastRow="0" w:firstColumn="1" w:lastColumn="0" w:noHBand="0" w:noVBand="1"/>
      </w:tblPr>
      <w:tblGrid>
        <w:gridCol w:w="2000"/>
        <w:gridCol w:w="835"/>
        <w:gridCol w:w="850"/>
        <w:gridCol w:w="860"/>
        <w:gridCol w:w="860"/>
        <w:gridCol w:w="860"/>
        <w:gridCol w:w="1248"/>
      </w:tblGrid>
      <w:tr w:rsidR="00B97B6A" w:rsidRPr="00F96EBF" w14:paraId="0F7FE0FA" w14:textId="77777777" w:rsidTr="001A72F4">
        <w:trPr>
          <w:trHeight w:val="460"/>
          <w:jc w:val="center"/>
        </w:trPr>
        <w:tc>
          <w:tcPr>
            <w:tcW w:w="2000" w:type="dxa"/>
            <w:tcBorders>
              <w:top w:val="nil"/>
              <w:left w:val="nil"/>
              <w:bottom w:val="nil"/>
              <w:right w:val="nil"/>
            </w:tcBorders>
            <w:noWrap/>
            <w:vAlign w:val="bottom"/>
            <w:hideMark/>
          </w:tcPr>
          <w:p w14:paraId="7E52FC78" w14:textId="77777777" w:rsidR="00310E38" w:rsidRPr="00F96EBF" w:rsidRDefault="00310E38" w:rsidP="006D08A5">
            <w:pPr>
              <w:keepNext/>
              <w:keepLines/>
              <w:rPr>
                <w:color w:val="000000" w:themeColor="text1"/>
                <w:lang w:val="en-GB"/>
              </w:rPr>
            </w:pPr>
          </w:p>
        </w:tc>
        <w:tc>
          <w:tcPr>
            <w:tcW w:w="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AC8C84"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786CA"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2014/15</w:t>
            </w:r>
          </w:p>
        </w:tc>
        <w:tc>
          <w:tcPr>
            <w:tcW w:w="2580" w:type="dxa"/>
            <w:gridSpan w:val="3"/>
            <w:tcBorders>
              <w:top w:val="single" w:sz="4" w:space="0" w:color="auto"/>
              <w:left w:val="nil"/>
              <w:bottom w:val="single" w:sz="4" w:space="0" w:color="auto"/>
              <w:right w:val="single" w:sz="4" w:space="0" w:color="auto"/>
            </w:tcBorders>
            <w:shd w:val="clear" w:color="000000" w:fill="FFFFFF"/>
            <w:vAlign w:val="center"/>
            <w:hideMark/>
          </w:tcPr>
          <w:p w14:paraId="7E1A96E5"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Cumulative average annual growth rate</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1BD324"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Interregional difference (Spain=100)</w:t>
            </w:r>
          </w:p>
        </w:tc>
      </w:tr>
      <w:tr w:rsidR="00B97B6A" w:rsidRPr="00F96EBF" w14:paraId="33386690" w14:textId="77777777" w:rsidTr="001A72F4">
        <w:trPr>
          <w:trHeight w:val="432"/>
          <w:jc w:val="center"/>
        </w:trPr>
        <w:tc>
          <w:tcPr>
            <w:tcW w:w="2000" w:type="dxa"/>
            <w:tcBorders>
              <w:top w:val="nil"/>
              <w:left w:val="nil"/>
              <w:bottom w:val="nil"/>
              <w:right w:val="nil"/>
            </w:tcBorders>
            <w:noWrap/>
            <w:vAlign w:val="bottom"/>
            <w:hideMark/>
          </w:tcPr>
          <w:p w14:paraId="37E68294" w14:textId="77777777" w:rsidR="00310E38" w:rsidRPr="00F96EBF" w:rsidRDefault="00310E38" w:rsidP="006D08A5">
            <w:pPr>
              <w:keepNext/>
              <w:keepLines/>
              <w:rPr>
                <w:b/>
                <w:bCs/>
                <w:color w:val="000000" w:themeColor="text1"/>
                <w:sz w:val="20"/>
                <w:szCs w:val="20"/>
                <w:lang w:val="en-GB"/>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212C449B" w14:textId="77777777" w:rsidR="00310E38" w:rsidRPr="00F96EBF" w:rsidRDefault="00310E38" w:rsidP="00A4130E">
            <w:pPr>
              <w:keepNext/>
              <w:keepLines/>
              <w:jc w:val="center"/>
              <w:rPr>
                <w:b/>
                <w:bCs/>
                <w:color w:val="000000" w:themeColor="text1"/>
                <w:sz w:val="18"/>
                <w:szCs w:val="18"/>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50A3CF" w14:textId="77777777" w:rsidR="00310E38" w:rsidRPr="00F96EBF" w:rsidRDefault="00310E38" w:rsidP="00A4130E">
            <w:pPr>
              <w:keepNext/>
              <w:keepLines/>
              <w:jc w:val="center"/>
              <w:rPr>
                <w:b/>
                <w:bCs/>
                <w:color w:val="000000" w:themeColor="text1"/>
                <w:sz w:val="18"/>
                <w:szCs w:val="18"/>
                <w:lang w:val="en-GB"/>
              </w:rPr>
            </w:pPr>
          </w:p>
        </w:tc>
        <w:tc>
          <w:tcPr>
            <w:tcW w:w="860" w:type="dxa"/>
            <w:tcBorders>
              <w:top w:val="nil"/>
              <w:left w:val="nil"/>
              <w:bottom w:val="single" w:sz="4" w:space="0" w:color="auto"/>
              <w:right w:val="single" w:sz="4" w:space="0" w:color="auto"/>
            </w:tcBorders>
            <w:shd w:val="clear" w:color="000000" w:fill="FFFFFF"/>
            <w:vAlign w:val="center"/>
            <w:hideMark/>
          </w:tcPr>
          <w:p w14:paraId="42A90A33"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2001/02‒2007/08</w:t>
            </w:r>
          </w:p>
        </w:tc>
        <w:tc>
          <w:tcPr>
            <w:tcW w:w="860" w:type="dxa"/>
            <w:tcBorders>
              <w:top w:val="nil"/>
              <w:left w:val="nil"/>
              <w:bottom w:val="single" w:sz="4" w:space="0" w:color="auto"/>
              <w:right w:val="single" w:sz="4" w:space="0" w:color="auto"/>
            </w:tcBorders>
            <w:shd w:val="clear" w:color="000000" w:fill="FFFFFF"/>
            <w:vAlign w:val="center"/>
            <w:hideMark/>
          </w:tcPr>
          <w:p w14:paraId="69F923BC"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2008/09‒2014/15</w:t>
            </w:r>
          </w:p>
        </w:tc>
        <w:tc>
          <w:tcPr>
            <w:tcW w:w="860" w:type="dxa"/>
            <w:tcBorders>
              <w:top w:val="nil"/>
              <w:left w:val="nil"/>
              <w:bottom w:val="single" w:sz="4" w:space="0" w:color="auto"/>
              <w:right w:val="single" w:sz="4" w:space="0" w:color="auto"/>
            </w:tcBorders>
            <w:shd w:val="clear" w:color="000000" w:fill="FFFFFF"/>
            <w:vAlign w:val="center"/>
            <w:hideMark/>
          </w:tcPr>
          <w:p w14:paraId="15DCE201"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Total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5D6F9C2" w14:textId="77777777" w:rsidR="00310E38" w:rsidRPr="00F96EBF" w:rsidRDefault="00310E38" w:rsidP="00A4130E">
            <w:pPr>
              <w:keepNext/>
              <w:keepLines/>
              <w:jc w:val="center"/>
              <w:rPr>
                <w:b/>
                <w:bCs/>
                <w:color w:val="000000" w:themeColor="text1"/>
                <w:sz w:val="20"/>
                <w:szCs w:val="20"/>
                <w:lang w:val="en-GB"/>
              </w:rPr>
            </w:pPr>
          </w:p>
        </w:tc>
      </w:tr>
      <w:tr w:rsidR="00B97B6A" w:rsidRPr="00F96EBF" w14:paraId="042C2638" w14:textId="77777777" w:rsidTr="001A72F4">
        <w:trPr>
          <w:trHeight w:val="227"/>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3690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Andalusia</w:t>
            </w:r>
          </w:p>
        </w:tc>
        <w:tc>
          <w:tcPr>
            <w:tcW w:w="835" w:type="dxa"/>
            <w:tcBorders>
              <w:top w:val="nil"/>
              <w:left w:val="nil"/>
              <w:bottom w:val="single" w:sz="4" w:space="0" w:color="auto"/>
              <w:right w:val="single" w:sz="4" w:space="0" w:color="auto"/>
            </w:tcBorders>
            <w:shd w:val="clear" w:color="000000" w:fill="FFFFFF"/>
            <w:noWrap/>
            <w:vAlign w:val="bottom"/>
            <w:hideMark/>
          </w:tcPr>
          <w:p w14:paraId="04A1B6D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56.7</w:t>
            </w:r>
          </w:p>
        </w:tc>
        <w:tc>
          <w:tcPr>
            <w:tcW w:w="850" w:type="dxa"/>
            <w:tcBorders>
              <w:top w:val="nil"/>
              <w:left w:val="nil"/>
              <w:bottom w:val="single" w:sz="4" w:space="0" w:color="auto"/>
              <w:right w:val="single" w:sz="4" w:space="0" w:color="auto"/>
            </w:tcBorders>
            <w:shd w:val="clear" w:color="000000" w:fill="FFFFFF"/>
            <w:noWrap/>
            <w:vAlign w:val="bottom"/>
            <w:hideMark/>
          </w:tcPr>
          <w:p w14:paraId="4AEF586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63.1</w:t>
            </w:r>
          </w:p>
        </w:tc>
        <w:tc>
          <w:tcPr>
            <w:tcW w:w="860" w:type="dxa"/>
            <w:tcBorders>
              <w:top w:val="nil"/>
              <w:left w:val="nil"/>
              <w:bottom w:val="single" w:sz="4" w:space="0" w:color="auto"/>
              <w:right w:val="single" w:sz="4" w:space="0" w:color="auto"/>
            </w:tcBorders>
            <w:shd w:val="clear" w:color="000000" w:fill="FFFFFF"/>
            <w:noWrap/>
            <w:vAlign w:val="bottom"/>
            <w:hideMark/>
          </w:tcPr>
          <w:p w14:paraId="5B1E3C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-1.72%</w:t>
            </w:r>
          </w:p>
        </w:tc>
        <w:tc>
          <w:tcPr>
            <w:tcW w:w="860" w:type="dxa"/>
            <w:tcBorders>
              <w:top w:val="nil"/>
              <w:left w:val="nil"/>
              <w:bottom w:val="single" w:sz="4" w:space="0" w:color="auto"/>
              <w:right w:val="single" w:sz="4" w:space="0" w:color="auto"/>
            </w:tcBorders>
            <w:shd w:val="clear" w:color="000000" w:fill="FFFFFF"/>
            <w:noWrap/>
            <w:vAlign w:val="bottom"/>
            <w:hideMark/>
          </w:tcPr>
          <w:p w14:paraId="3209D47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2.72%</w:t>
            </w:r>
          </w:p>
        </w:tc>
        <w:tc>
          <w:tcPr>
            <w:tcW w:w="860" w:type="dxa"/>
            <w:tcBorders>
              <w:top w:val="nil"/>
              <w:left w:val="nil"/>
              <w:bottom w:val="single" w:sz="4" w:space="0" w:color="auto"/>
              <w:right w:val="single" w:sz="4" w:space="0" w:color="auto"/>
            </w:tcBorders>
            <w:shd w:val="clear" w:color="000000" w:fill="FFFFFF"/>
            <w:noWrap/>
            <w:vAlign w:val="bottom"/>
            <w:hideMark/>
          </w:tcPr>
          <w:p w14:paraId="3E27E3F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0.83%</w:t>
            </w:r>
          </w:p>
        </w:tc>
        <w:tc>
          <w:tcPr>
            <w:tcW w:w="1248" w:type="dxa"/>
            <w:tcBorders>
              <w:top w:val="nil"/>
              <w:left w:val="nil"/>
              <w:bottom w:val="single" w:sz="4" w:space="0" w:color="auto"/>
              <w:right w:val="single" w:sz="4" w:space="0" w:color="auto"/>
            </w:tcBorders>
            <w:shd w:val="clear" w:color="000000" w:fill="FFFFFF"/>
            <w:noWrap/>
            <w:vAlign w:val="bottom"/>
            <w:hideMark/>
          </w:tcPr>
          <w:p w14:paraId="1B6170A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95.9</w:t>
            </w:r>
          </w:p>
        </w:tc>
      </w:tr>
      <w:tr w:rsidR="00B97B6A" w:rsidRPr="00F96EBF" w14:paraId="6F99E4A1"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CC2DA82"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Aragón</w:t>
            </w:r>
          </w:p>
        </w:tc>
        <w:tc>
          <w:tcPr>
            <w:tcW w:w="835" w:type="dxa"/>
            <w:tcBorders>
              <w:top w:val="nil"/>
              <w:left w:val="nil"/>
              <w:bottom w:val="single" w:sz="4" w:space="0" w:color="auto"/>
              <w:right w:val="single" w:sz="4" w:space="0" w:color="auto"/>
            </w:tcBorders>
            <w:shd w:val="clear" w:color="000000" w:fill="FFFFFF"/>
            <w:noWrap/>
            <w:vAlign w:val="bottom"/>
            <w:hideMark/>
          </w:tcPr>
          <w:p w14:paraId="4A456E7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62.7</w:t>
            </w:r>
          </w:p>
        </w:tc>
        <w:tc>
          <w:tcPr>
            <w:tcW w:w="850" w:type="dxa"/>
            <w:tcBorders>
              <w:top w:val="nil"/>
              <w:left w:val="nil"/>
              <w:bottom w:val="single" w:sz="4" w:space="0" w:color="auto"/>
              <w:right w:val="single" w:sz="4" w:space="0" w:color="auto"/>
            </w:tcBorders>
            <w:shd w:val="clear" w:color="000000" w:fill="FFFFFF"/>
            <w:noWrap/>
            <w:vAlign w:val="bottom"/>
            <w:hideMark/>
          </w:tcPr>
          <w:p w14:paraId="64AC934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54.1</w:t>
            </w:r>
          </w:p>
        </w:tc>
        <w:tc>
          <w:tcPr>
            <w:tcW w:w="860" w:type="dxa"/>
            <w:tcBorders>
              <w:top w:val="nil"/>
              <w:left w:val="nil"/>
              <w:bottom w:val="single" w:sz="4" w:space="0" w:color="auto"/>
              <w:right w:val="single" w:sz="4" w:space="0" w:color="auto"/>
            </w:tcBorders>
            <w:shd w:val="clear" w:color="000000" w:fill="FFFFFF"/>
            <w:noWrap/>
            <w:vAlign w:val="bottom"/>
            <w:hideMark/>
          </w:tcPr>
          <w:p w14:paraId="4B9A7A1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-1.46%</w:t>
            </w:r>
          </w:p>
        </w:tc>
        <w:tc>
          <w:tcPr>
            <w:tcW w:w="860" w:type="dxa"/>
            <w:tcBorders>
              <w:top w:val="nil"/>
              <w:left w:val="nil"/>
              <w:bottom w:val="single" w:sz="4" w:space="0" w:color="auto"/>
              <w:right w:val="single" w:sz="4" w:space="0" w:color="auto"/>
            </w:tcBorders>
            <w:shd w:val="clear" w:color="000000" w:fill="FFFFFF"/>
            <w:noWrap/>
            <w:vAlign w:val="bottom"/>
            <w:hideMark/>
          </w:tcPr>
          <w:p w14:paraId="004A646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-0.98%</w:t>
            </w:r>
          </w:p>
        </w:tc>
        <w:tc>
          <w:tcPr>
            <w:tcW w:w="860" w:type="dxa"/>
            <w:tcBorders>
              <w:top w:val="nil"/>
              <w:left w:val="nil"/>
              <w:bottom w:val="single" w:sz="4" w:space="0" w:color="auto"/>
              <w:right w:val="single" w:sz="4" w:space="0" w:color="auto"/>
            </w:tcBorders>
            <w:shd w:val="clear" w:color="000000" w:fill="FFFFFF"/>
            <w:noWrap/>
            <w:vAlign w:val="bottom"/>
            <w:hideMark/>
          </w:tcPr>
          <w:p w14:paraId="40FB798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-1.13%</w:t>
            </w:r>
          </w:p>
        </w:tc>
        <w:tc>
          <w:tcPr>
            <w:tcW w:w="1248" w:type="dxa"/>
            <w:tcBorders>
              <w:top w:val="nil"/>
              <w:left w:val="nil"/>
              <w:bottom w:val="single" w:sz="4" w:space="0" w:color="auto"/>
              <w:right w:val="single" w:sz="4" w:space="0" w:color="auto"/>
            </w:tcBorders>
            <w:shd w:val="clear" w:color="000000" w:fill="FFFFFF"/>
            <w:noWrap/>
            <w:vAlign w:val="bottom"/>
            <w:hideMark/>
          </w:tcPr>
          <w:p w14:paraId="0A72C26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82.2</w:t>
            </w:r>
          </w:p>
        </w:tc>
      </w:tr>
      <w:tr w:rsidR="00B97B6A" w:rsidRPr="00F96EBF" w14:paraId="33A83B0E"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DE4D93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Asturias</w:t>
            </w:r>
          </w:p>
        </w:tc>
        <w:tc>
          <w:tcPr>
            <w:tcW w:w="835" w:type="dxa"/>
            <w:tcBorders>
              <w:top w:val="nil"/>
              <w:left w:val="nil"/>
              <w:bottom w:val="single" w:sz="4" w:space="0" w:color="auto"/>
              <w:right w:val="single" w:sz="4" w:space="0" w:color="auto"/>
            </w:tcBorders>
            <w:shd w:val="clear" w:color="000000" w:fill="FFFFFF"/>
            <w:noWrap/>
            <w:vAlign w:val="bottom"/>
            <w:hideMark/>
          </w:tcPr>
          <w:p w14:paraId="4F6D0B6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63.7</w:t>
            </w:r>
          </w:p>
        </w:tc>
        <w:tc>
          <w:tcPr>
            <w:tcW w:w="850" w:type="dxa"/>
            <w:tcBorders>
              <w:top w:val="nil"/>
              <w:left w:val="nil"/>
              <w:bottom w:val="single" w:sz="4" w:space="0" w:color="auto"/>
              <w:right w:val="single" w:sz="4" w:space="0" w:color="auto"/>
            </w:tcBorders>
            <w:shd w:val="clear" w:color="000000" w:fill="FFFFFF"/>
            <w:noWrap/>
            <w:vAlign w:val="bottom"/>
            <w:hideMark/>
          </w:tcPr>
          <w:p w14:paraId="255C8B0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69.3</w:t>
            </w:r>
          </w:p>
        </w:tc>
        <w:tc>
          <w:tcPr>
            <w:tcW w:w="860" w:type="dxa"/>
            <w:tcBorders>
              <w:top w:val="nil"/>
              <w:left w:val="nil"/>
              <w:bottom w:val="single" w:sz="4" w:space="0" w:color="auto"/>
              <w:right w:val="single" w:sz="4" w:space="0" w:color="auto"/>
            </w:tcBorders>
            <w:shd w:val="clear" w:color="000000" w:fill="FFFFFF"/>
            <w:noWrap/>
            <w:vAlign w:val="bottom"/>
            <w:hideMark/>
          </w:tcPr>
          <w:p w14:paraId="6A4F308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-1.21%</w:t>
            </w:r>
          </w:p>
        </w:tc>
        <w:tc>
          <w:tcPr>
            <w:tcW w:w="860" w:type="dxa"/>
            <w:tcBorders>
              <w:top w:val="nil"/>
              <w:left w:val="nil"/>
              <w:bottom w:val="single" w:sz="4" w:space="0" w:color="auto"/>
              <w:right w:val="single" w:sz="4" w:space="0" w:color="auto"/>
            </w:tcBorders>
            <w:shd w:val="clear" w:color="000000" w:fill="FFFFFF"/>
            <w:noWrap/>
            <w:vAlign w:val="bottom"/>
            <w:hideMark/>
          </w:tcPr>
          <w:p w14:paraId="7B04F3A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1.44%</w:t>
            </w:r>
          </w:p>
        </w:tc>
        <w:tc>
          <w:tcPr>
            <w:tcW w:w="860" w:type="dxa"/>
            <w:tcBorders>
              <w:top w:val="nil"/>
              <w:left w:val="nil"/>
              <w:bottom w:val="single" w:sz="4" w:space="0" w:color="auto"/>
              <w:right w:val="single" w:sz="4" w:space="0" w:color="auto"/>
            </w:tcBorders>
            <w:shd w:val="clear" w:color="000000" w:fill="FFFFFF"/>
            <w:noWrap/>
            <w:vAlign w:val="bottom"/>
            <w:hideMark/>
          </w:tcPr>
          <w:p w14:paraId="0804DE6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0.65%</w:t>
            </w:r>
          </w:p>
        </w:tc>
        <w:tc>
          <w:tcPr>
            <w:tcW w:w="1248" w:type="dxa"/>
            <w:tcBorders>
              <w:top w:val="nil"/>
              <w:left w:val="nil"/>
              <w:bottom w:val="single" w:sz="4" w:space="0" w:color="auto"/>
              <w:right w:val="single" w:sz="4" w:space="0" w:color="auto"/>
            </w:tcBorders>
            <w:shd w:val="clear" w:color="000000" w:fill="FFFFFF"/>
            <w:noWrap/>
            <w:vAlign w:val="bottom"/>
            <w:hideMark/>
          </w:tcPr>
          <w:p w14:paraId="3DD51C3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105.3</w:t>
            </w:r>
          </w:p>
        </w:tc>
      </w:tr>
      <w:tr w:rsidR="00B97B6A" w:rsidRPr="00F96EBF" w14:paraId="4A446C84"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7EE5017"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Balearic Islands</w:t>
            </w:r>
          </w:p>
        </w:tc>
        <w:tc>
          <w:tcPr>
            <w:tcW w:w="835" w:type="dxa"/>
            <w:tcBorders>
              <w:top w:val="nil"/>
              <w:left w:val="nil"/>
              <w:bottom w:val="single" w:sz="4" w:space="0" w:color="auto"/>
              <w:right w:val="single" w:sz="4" w:space="0" w:color="auto"/>
            </w:tcBorders>
            <w:shd w:val="clear" w:color="000000" w:fill="FFFFFF"/>
            <w:noWrap/>
            <w:vAlign w:val="bottom"/>
            <w:hideMark/>
          </w:tcPr>
          <w:p w14:paraId="6C83718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53</w:t>
            </w:r>
          </w:p>
        </w:tc>
        <w:tc>
          <w:tcPr>
            <w:tcW w:w="850" w:type="dxa"/>
            <w:tcBorders>
              <w:top w:val="nil"/>
              <w:left w:val="nil"/>
              <w:bottom w:val="single" w:sz="4" w:space="0" w:color="auto"/>
              <w:right w:val="single" w:sz="4" w:space="0" w:color="auto"/>
            </w:tcBorders>
            <w:shd w:val="clear" w:color="000000" w:fill="FFFFFF"/>
            <w:noWrap/>
            <w:vAlign w:val="bottom"/>
            <w:hideMark/>
          </w:tcPr>
          <w:p w14:paraId="09A7F6F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60.9</w:t>
            </w:r>
          </w:p>
        </w:tc>
        <w:tc>
          <w:tcPr>
            <w:tcW w:w="860" w:type="dxa"/>
            <w:tcBorders>
              <w:top w:val="nil"/>
              <w:left w:val="nil"/>
              <w:bottom w:val="single" w:sz="4" w:space="0" w:color="auto"/>
              <w:right w:val="single" w:sz="4" w:space="0" w:color="auto"/>
            </w:tcBorders>
            <w:shd w:val="clear" w:color="000000" w:fill="FFFFFF"/>
            <w:noWrap/>
            <w:vAlign w:val="bottom"/>
            <w:hideMark/>
          </w:tcPr>
          <w:p w14:paraId="0BBABD0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0.31%</w:t>
            </w:r>
          </w:p>
        </w:tc>
        <w:tc>
          <w:tcPr>
            <w:tcW w:w="860" w:type="dxa"/>
            <w:tcBorders>
              <w:top w:val="nil"/>
              <w:left w:val="nil"/>
              <w:bottom w:val="single" w:sz="4" w:space="0" w:color="auto"/>
              <w:right w:val="single" w:sz="4" w:space="0" w:color="auto"/>
            </w:tcBorders>
            <w:shd w:val="clear" w:color="000000" w:fill="FFFFFF"/>
            <w:noWrap/>
            <w:vAlign w:val="bottom"/>
            <w:hideMark/>
          </w:tcPr>
          <w:p w14:paraId="15F3423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2.74%</w:t>
            </w:r>
          </w:p>
        </w:tc>
        <w:tc>
          <w:tcPr>
            <w:tcW w:w="860" w:type="dxa"/>
            <w:tcBorders>
              <w:top w:val="nil"/>
              <w:left w:val="nil"/>
              <w:bottom w:val="single" w:sz="4" w:space="0" w:color="auto"/>
              <w:right w:val="single" w:sz="4" w:space="0" w:color="auto"/>
            </w:tcBorders>
            <w:shd w:val="clear" w:color="000000" w:fill="FFFFFF"/>
            <w:noWrap/>
            <w:vAlign w:val="bottom"/>
            <w:hideMark/>
          </w:tcPr>
          <w:p w14:paraId="3040DF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1.08%</w:t>
            </w:r>
          </w:p>
        </w:tc>
        <w:tc>
          <w:tcPr>
            <w:tcW w:w="1248" w:type="dxa"/>
            <w:tcBorders>
              <w:top w:val="nil"/>
              <w:left w:val="nil"/>
              <w:bottom w:val="single" w:sz="4" w:space="0" w:color="auto"/>
              <w:right w:val="single" w:sz="4" w:space="0" w:color="auto"/>
            </w:tcBorders>
            <w:shd w:val="clear" w:color="000000" w:fill="FFFFFF"/>
            <w:noWrap/>
            <w:vAlign w:val="bottom"/>
            <w:hideMark/>
          </w:tcPr>
          <w:p w14:paraId="43CDD3D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92.6</w:t>
            </w:r>
          </w:p>
        </w:tc>
      </w:tr>
      <w:tr w:rsidR="00B97B6A" w:rsidRPr="00F96EBF" w14:paraId="274DAAD6"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E03F18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Basque Country</w:t>
            </w:r>
          </w:p>
        </w:tc>
        <w:tc>
          <w:tcPr>
            <w:tcW w:w="835" w:type="dxa"/>
            <w:tcBorders>
              <w:top w:val="nil"/>
              <w:left w:val="nil"/>
              <w:bottom w:val="single" w:sz="4" w:space="0" w:color="auto"/>
              <w:right w:val="single" w:sz="4" w:space="0" w:color="auto"/>
            </w:tcBorders>
            <w:shd w:val="clear" w:color="000000" w:fill="FFFFFF"/>
            <w:noWrap/>
            <w:vAlign w:val="bottom"/>
            <w:hideMark/>
          </w:tcPr>
          <w:p w14:paraId="3854846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70.6</w:t>
            </w:r>
          </w:p>
        </w:tc>
        <w:tc>
          <w:tcPr>
            <w:tcW w:w="850" w:type="dxa"/>
            <w:tcBorders>
              <w:top w:val="nil"/>
              <w:left w:val="nil"/>
              <w:bottom w:val="single" w:sz="4" w:space="0" w:color="auto"/>
              <w:right w:val="single" w:sz="4" w:space="0" w:color="auto"/>
            </w:tcBorders>
            <w:shd w:val="clear" w:color="000000" w:fill="FFFFFF"/>
            <w:noWrap/>
            <w:vAlign w:val="bottom"/>
            <w:hideMark/>
          </w:tcPr>
          <w:p w14:paraId="1D68598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74.1</w:t>
            </w:r>
          </w:p>
        </w:tc>
        <w:tc>
          <w:tcPr>
            <w:tcW w:w="860" w:type="dxa"/>
            <w:tcBorders>
              <w:top w:val="nil"/>
              <w:left w:val="nil"/>
              <w:bottom w:val="single" w:sz="4" w:space="0" w:color="auto"/>
              <w:right w:val="single" w:sz="4" w:space="0" w:color="auto"/>
            </w:tcBorders>
            <w:shd w:val="clear" w:color="000000" w:fill="FFFFFF"/>
            <w:noWrap/>
            <w:vAlign w:val="bottom"/>
            <w:hideMark/>
          </w:tcPr>
          <w:p w14:paraId="473E8DE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0.00%</w:t>
            </w:r>
          </w:p>
        </w:tc>
        <w:tc>
          <w:tcPr>
            <w:tcW w:w="860" w:type="dxa"/>
            <w:tcBorders>
              <w:top w:val="nil"/>
              <w:left w:val="nil"/>
              <w:bottom w:val="single" w:sz="4" w:space="0" w:color="auto"/>
              <w:right w:val="single" w:sz="4" w:space="0" w:color="auto"/>
            </w:tcBorders>
            <w:shd w:val="clear" w:color="000000" w:fill="FFFFFF"/>
            <w:noWrap/>
            <w:vAlign w:val="bottom"/>
            <w:hideMark/>
          </w:tcPr>
          <w:p w14:paraId="45D6507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0.56%</w:t>
            </w:r>
          </w:p>
        </w:tc>
        <w:tc>
          <w:tcPr>
            <w:tcW w:w="860" w:type="dxa"/>
            <w:tcBorders>
              <w:top w:val="nil"/>
              <w:left w:val="nil"/>
              <w:bottom w:val="single" w:sz="4" w:space="0" w:color="auto"/>
              <w:right w:val="single" w:sz="4" w:space="0" w:color="auto"/>
            </w:tcBorders>
            <w:shd w:val="clear" w:color="000000" w:fill="FFFFFF"/>
            <w:noWrap/>
            <w:vAlign w:val="bottom"/>
            <w:hideMark/>
          </w:tcPr>
          <w:p w14:paraId="49DA1A5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0.38%</w:t>
            </w:r>
          </w:p>
        </w:tc>
        <w:tc>
          <w:tcPr>
            <w:tcW w:w="1248" w:type="dxa"/>
            <w:tcBorders>
              <w:top w:val="nil"/>
              <w:left w:val="nil"/>
              <w:bottom w:val="single" w:sz="4" w:space="0" w:color="auto"/>
              <w:right w:val="single" w:sz="4" w:space="0" w:color="auto"/>
            </w:tcBorders>
            <w:shd w:val="clear" w:color="000000" w:fill="FFFFFF"/>
            <w:noWrap/>
            <w:vAlign w:val="bottom"/>
            <w:hideMark/>
          </w:tcPr>
          <w:p w14:paraId="4F3109B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112.7</w:t>
            </w:r>
          </w:p>
        </w:tc>
      </w:tr>
      <w:tr w:rsidR="00B97B6A" w:rsidRPr="00F96EBF" w14:paraId="2DC0B100"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99F9DEB"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Canary Islands</w:t>
            </w:r>
          </w:p>
        </w:tc>
        <w:tc>
          <w:tcPr>
            <w:tcW w:w="835" w:type="dxa"/>
            <w:tcBorders>
              <w:top w:val="nil"/>
              <w:left w:val="nil"/>
              <w:bottom w:val="single" w:sz="4" w:space="0" w:color="auto"/>
              <w:right w:val="single" w:sz="4" w:space="0" w:color="auto"/>
            </w:tcBorders>
            <w:shd w:val="clear" w:color="000000" w:fill="FFFFFF"/>
            <w:noWrap/>
            <w:vAlign w:val="bottom"/>
            <w:hideMark/>
          </w:tcPr>
          <w:p w14:paraId="2B7A39D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57.2</w:t>
            </w:r>
          </w:p>
        </w:tc>
        <w:tc>
          <w:tcPr>
            <w:tcW w:w="850" w:type="dxa"/>
            <w:tcBorders>
              <w:top w:val="nil"/>
              <w:left w:val="nil"/>
              <w:bottom w:val="single" w:sz="4" w:space="0" w:color="auto"/>
              <w:right w:val="single" w:sz="4" w:space="0" w:color="auto"/>
            </w:tcBorders>
            <w:shd w:val="clear" w:color="000000" w:fill="FFFFFF"/>
            <w:noWrap/>
            <w:vAlign w:val="bottom"/>
            <w:hideMark/>
          </w:tcPr>
          <w:p w14:paraId="0B0964B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59.7</w:t>
            </w:r>
          </w:p>
        </w:tc>
        <w:tc>
          <w:tcPr>
            <w:tcW w:w="860" w:type="dxa"/>
            <w:tcBorders>
              <w:top w:val="nil"/>
              <w:left w:val="nil"/>
              <w:bottom w:val="single" w:sz="4" w:space="0" w:color="auto"/>
              <w:right w:val="single" w:sz="4" w:space="0" w:color="auto"/>
            </w:tcBorders>
            <w:shd w:val="clear" w:color="000000" w:fill="FFFFFF"/>
            <w:noWrap/>
            <w:vAlign w:val="bottom"/>
            <w:hideMark/>
          </w:tcPr>
          <w:p w14:paraId="02698D2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-2.38%</w:t>
            </w:r>
          </w:p>
        </w:tc>
        <w:tc>
          <w:tcPr>
            <w:tcW w:w="860" w:type="dxa"/>
            <w:tcBorders>
              <w:top w:val="nil"/>
              <w:left w:val="nil"/>
              <w:bottom w:val="single" w:sz="4" w:space="0" w:color="auto"/>
              <w:right w:val="single" w:sz="4" w:space="0" w:color="auto"/>
            </w:tcBorders>
            <w:shd w:val="clear" w:color="000000" w:fill="FFFFFF"/>
            <w:noWrap/>
            <w:vAlign w:val="bottom"/>
            <w:hideMark/>
          </w:tcPr>
          <w:p w14:paraId="2658243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2.22%</w:t>
            </w:r>
          </w:p>
        </w:tc>
        <w:tc>
          <w:tcPr>
            <w:tcW w:w="860" w:type="dxa"/>
            <w:tcBorders>
              <w:top w:val="nil"/>
              <w:left w:val="nil"/>
              <w:bottom w:val="single" w:sz="4" w:space="0" w:color="auto"/>
              <w:right w:val="single" w:sz="4" w:space="0" w:color="auto"/>
            </w:tcBorders>
            <w:shd w:val="clear" w:color="000000" w:fill="FFFFFF"/>
            <w:noWrap/>
            <w:vAlign w:val="bottom"/>
            <w:hideMark/>
          </w:tcPr>
          <w:p w14:paraId="1E72748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0.33%</w:t>
            </w:r>
          </w:p>
        </w:tc>
        <w:tc>
          <w:tcPr>
            <w:tcW w:w="1248" w:type="dxa"/>
            <w:tcBorders>
              <w:top w:val="nil"/>
              <w:left w:val="nil"/>
              <w:bottom w:val="single" w:sz="4" w:space="0" w:color="auto"/>
              <w:right w:val="single" w:sz="4" w:space="0" w:color="auto"/>
            </w:tcBorders>
            <w:shd w:val="clear" w:color="000000" w:fill="FFFFFF"/>
            <w:noWrap/>
            <w:vAlign w:val="bottom"/>
            <w:hideMark/>
          </w:tcPr>
          <w:p w14:paraId="27EC428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90.7</w:t>
            </w:r>
          </w:p>
        </w:tc>
      </w:tr>
      <w:tr w:rsidR="00B97B6A" w:rsidRPr="00F96EBF" w14:paraId="64E50FE0"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45307D1"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Cantabria</w:t>
            </w:r>
          </w:p>
        </w:tc>
        <w:tc>
          <w:tcPr>
            <w:tcW w:w="835" w:type="dxa"/>
            <w:tcBorders>
              <w:top w:val="nil"/>
              <w:left w:val="nil"/>
              <w:bottom w:val="single" w:sz="4" w:space="0" w:color="auto"/>
              <w:right w:val="single" w:sz="4" w:space="0" w:color="auto"/>
            </w:tcBorders>
            <w:shd w:val="clear" w:color="000000" w:fill="FFFFFF"/>
            <w:noWrap/>
            <w:vAlign w:val="bottom"/>
            <w:hideMark/>
          </w:tcPr>
          <w:p w14:paraId="105FCD5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59.7</w:t>
            </w:r>
          </w:p>
        </w:tc>
        <w:tc>
          <w:tcPr>
            <w:tcW w:w="850" w:type="dxa"/>
            <w:tcBorders>
              <w:top w:val="nil"/>
              <w:left w:val="nil"/>
              <w:bottom w:val="single" w:sz="4" w:space="0" w:color="auto"/>
              <w:right w:val="single" w:sz="4" w:space="0" w:color="auto"/>
            </w:tcBorders>
            <w:shd w:val="clear" w:color="000000" w:fill="FFFFFF"/>
            <w:noWrap/>
            <w:vAlign w:val="bottom"/>
            <w:hideMark/>
          </w:tcPr>
          <w:p w14:paraId="465487F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66.9</w:t>
            </w:r>
          </w:p>
        </w:tc>
        <w:tc>
          <w:tcPr>
            <w:tcW w:w="860" w:type="dxa"/>
            <w:tcBorders>
              <w:top w:val="nil"/>
              <w:left w:val="nil"/>
              <w:bottom w:val="single" w:sz="4" w:space="0" w:color="auto"/>
              <w:right w:val="single" w:sz="4" w:space="0" w:color="auto"/>
            </w:tcBorders>
            <w:shd w:val="clear" w:color="000000" w:fill="FFFFFF"/>
            <w:noWrap/>
            <w:vAlign w:val="bottom"/>
            <w:hideMark/>
          </w:tcPr>
          <w:p w14:paraId="33F041D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-0.60%</w:t>
            </w:r>
          </w:p>
        </w:tc>
        <w:tc>
          <w:tcPr>
            <w:tcW w:w="860" w:type="dxa"/>
            <w:tcBorders>
              <w:top w:val="nil"/>
              <w:left w:val="nil"/>
              <w:bottom w:val="single" w:sz="4" w:space="0" w:color="auto"/>
              <w:right w:val="single" w:sz="4" w:space="0" w:color="auto"/>
            </w:tcBorders>
            <w:shd w:val="clear" w:color="000000" w:fill="FFFFFF"/>
            <w:noWrap/>
            <w:vAlign w:val="bottom"/>
            <w:hideMark/>
          </w:tcPr>
          <w:p w14:paraId="231B3A7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2.03%</w:t>
            </w:r>
          </w:p>
        </w:tc>
        <w:tc>
          <w:tcPr>
            <w:tcW w:w="860" w:type="dxa"/>
            <w:tcBorders>
              <w:top w:val="nil"/>
              <w:left w:val="nil"/>
              <w:bottom w:val="single" w:sz="4" w:space="0" w:color="auto"/>
              <w:right w:val="single" w:sz="4" w:space="0" w:color="auto"/>
            </w:tcBorders>
            <w:shd w:val="clear" w:color="000000" w:fill="FFFFFF"/>
            <w:noWrap/>
            <w:vAlign w:val="bottom"/>
            <w:hideMark/>
          </w:tcPr>
          <w:p w14:paraId="669E9AC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0.88%</w:t>
            </w:r>
          </w:p>
        </w:tc>
        <w:tc>
          <w:tcPr>
            <w:tcW w:w="1248" w:type="dxa"/>
            <w:tcBorders>
              <w:top w:val="nil"/>
              <w:left w:val="nil"/>
              <w:bottom w:val="single" w:sz="4" w:space="0" w:color="auto"/>
              <w:right w:val="single" w:sz="4" w:space="0" w:color="auto"/>
            </w:tcBorders>
            <w:shd w:val="clear" w:color="000000" w:fill="FFFFFF"/>
            <w:noWrap/>
            <w:vAlign w:val="bottom"/>
            <w:hideMark/>
          </w:tcPr>
          <w:p w14:paraId="6DA4C34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101.7</w:t>
            </w:r>
          </w:p>
        </w:tc>
      </w:tr>
      <w:tr w:rsidR="00B97B6A" w:rsidRPr="00F96EBF" w14:paraId="7C5540E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29EF97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 and Leon</w:t>
            </w:r>
          </w:p>
        </w:tc>
        <w:tc>
          <w:tcPr>
            <w:tcW w:w="835" w:type="dxa"/>
            <w:tcBorders>
              <w:top w:val="nil"/>
              <w:left w:val="nil"/>
              <w:bottom w:val="single" w:sz="4" w:space="0" w:color="auto"/>
              <w:right w:val="single" w:sz="4" w:space="0" w:color="auto"/>
            </w:tcBorders>
            <w:shd w:val="clear" w:color="000000" w:fill="FFFFFF"/>
            <w:noWrap/>
            <w:vAlign w:val="bottom"/>
            <w:hideMark/>
          </w:tcPr>
          <w:p w14:paraId="67D606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58.4</w:t>
            </w:r>
          </w:p>
        </w:tc>
        <w:tc>
          <w:tcPr>
            <w:tcW w:w="850" w:type="dxa"/>
            <w:tcBorders>
              <w:top w:val="nil"/>
              <w:left w:val="nil"/>
              <w:bottom w:val="single" w:sz="4" w:space="0" w:color="auto"/>
              <w:right w:val="single" w:sz="4" w:space="0" w:color="auto"/>
            </w:tcBorders>
            <w:shd w:val="clear" w:color="000000" w:fill="FFFFFF"/>
            <w:noWrap/>
            <w:vAlign w:val="bottom"/>
            <w:hideMark/>
          </w:tcPr>
          <w:p w14:paraId="18C7314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64.2</w:t>
            </w:r>
          </w:p>
        </w:tc>
        <w:tc>
          <w:tcPr>
            <w:tcW w:w="860" w:type="dxa"/>
            <w:tcBorders>
              <w:top w:val="nil"/>
              <w:left w:val="nil"/>
              <w:bottom w:val="single" w:sz="4" w:space="0" w:color="auto"/>
              <w:right w:val="single" w:sz="4" w:space="0" w:color="auto"/>
            </w:tcBorders>
            <w:shd w:val="clear" w:color="000000" w:fill="FFFFFF"/>
            <w:noWrap/>
            <w:vAlign w:val="bottom"/>
            <w:hideMark/>
          </w:tcPr>
          <w:p w14:paraId="2CB9947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-0.46%</w:t>
            </w:r>
          </w:p>
        </w:tc>
        <w:tc>
          <w:tcPr>
            <w:tcW w:w="860" w:type="dxa"/>
            <w:tcBorders>
              <w:top w:val="nil"/>
              <w:left w:val="nil"/>
              <w:bottom w:val="single" w:sz="4" w:space="0" w:color="auto"/>
              <w:right w:val="single" w:sz="4" w:space="0" w:color="auto"/>
            </w:tcBorders>
            <w:shd w:val="clear" w:color="000000" w:fill="FFFFFF"/>
            <w:noWrap/>
            <w:vAlign w:val="bottom"/>
            <w:hideMark/>
          </w:tcPr>
          <w:p w14:paraId="668214E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1.76%</w:t>
            </w:r>
          </w:p>
        </w:tc>
        <w:tc>
          <w:tcPr>
            <w:tcW w:w="860" w:type="dxa"/>
            <w:tcBorders>
              <w:top w:val="nil"/>
              <w:left w:val="nil"/>
              <w:bottom w:val="single" w:sz="4" w:space="0" w:color="auto"/>
              <w:right w:val="single" w:sz="4" w:space="0" w:color="auto"/>
            </w:tcBorders>
            <w:shd w:val="clear" w:color="000000" w:fill="FFFFFF"/>
            <w:noWrap/>
            <w:vAlign w:val="bottom"/>
            <w:hideMark/>
          </w:tcPr>
          <w:p w14:paraId="276933D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0.73%</w:t>
            </w:r>
          </w:p>
        </w:tc>
        <w:tc>
          <w:tcPr>
            <w:tcW w:w="1248" w:type="dxa"/>
            <w:tcBorders>
              <w:top w:val="nil"/>
              <w:left w:val="nil"/>
              <w:bottom w:val="single" w:sz="4" w:space="0" w:color="auto"/>
              <w:right w:val="single" w:sz="4" w:space="0" w:color="auto"/>
            </w:tcBorders>
            <w:shd w:val="clear" w:color="000000" w:fill="FFFFFF"/>
            <w:noWrap/>
            <w:vAlign w:val="bottom"/>
            <w:hideMark/>
          </w:tcPr>
          <w:p w14:paraId="09F7A3D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97.5</w:t>
            </w:r>
          </w:p>
        </w:tc>
      </w:tr>
      <w:tr w:rsidR="00B97B6A" w:rsidRPr="00F96EBF" w14:paraId="5DEFF2E2"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DA8AB6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Castile-La Mancha</w:t>
            </w:r>
          </w:p>
        </w:tc>
        <w:tc>
          <w:tcPr>
            <w:tcW w:w="835" w:type="dxa"/>
            <w:tcBorders>
              <w:top w:val="nil"/>
              <w:left w:val="nil"/>
              <w:bottom w:val="single" w:sz="4" w:space="0" w:color="auto"/>
              <w:right w:val="single" w:sz="4" w:space="0" w:color="auto"/>
            </w:tcBorders>
            <w:shd w:val="clear" w:color="000000" w:fill="FFFFFF"/>
            <w:noWrap/>
            <w:vAlign w:val="bottom"/>
            <w:hideMark/>
          </w:tcPr>
          <w:p w14:paraId="7AC53AA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55.2</w:t>
            </w:r>
          </w:p>
        </w:tc>
        <w:tc>
          <w:tcPr>
            <w:tcW w:w="850" w:type="dxa"/>
            <w:tcBorders>
              <w:top w:val="nil"/>
              <w:left w:val="nil"/>
              <w:bottom w:val="single" w:sz="4" w:space="0" w:color="auto"/>
              <w:right w:val="single" w:sz="4" w:space="0" w:color="auto"/>
            </w:tcBorders>
            <w:shd w:val="clear" w:color="000000" w:fill="FFFFFF"/>
            <w:noWrap/>
            <w:vAlign w:val="bottom"/>
            <w:hideMark/>
          </w:tcPr>
          <w:p w14:paraId="7B6812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59.2</w:t>
            </w:r>
          </w:p>
        </w:tc>
        <w:tc>
          <w:tcPr>
            <w:tcW w:w="860" w:type="dxa"/>
            <w:tcBorders>
              <w:top w:val="nil"/>
              <w:left w:val="nil"/>
              <w:bottom w:val="single" w:sz="4" w:space="0" w:color="auto"/>
              <w:right w:val="single" w:sz="4" w:space="0" w:color="auto"/>
            </w:tcBorders>
            <w:shd w:val="clear" w:color="000000" w:fill="FFFFFF"/>
            <w:noWrap/>
            <w:vAlign w:val="bottom"/>
            <w:hideMark/>
          </w:tcPr>
          <w:p w14:paraId="629D7F9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-0.52%</w:t>
            </w:r>
          </w:p>
        </w:tc>
        <w:tc>
          <w:tcPr>
            <w:tcW w:w="860" w:type="dxa"/>
            <w:tcBorders>
              <w:top w:val="nil"/>
              <w:left w:val="nil"/>
              <w:bottom w:val="single" w:sz="4" w:space="0" w:color="auto"/>
              <w:right w:val="single" w:sz="4" w:space="0" w:color="auto"/>
            </w:tcBorders>
            <w:shd w:val="clear" w:color="000000" w:fill="FFFFFF"/>
            <w:noWrap/>
            <w:vAlign w:val="bottom"/>
            <w:hideMark/>
          </w:tcPr>
          <w:p w14:paraId="4F35D81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1.52%</w:t>
            </w:r>
          </w:p>
        </w:tc>
        <w:tc>
          <w:tcPr>
            <w:tcW w:w="860" w:type="dxa"/>
            <w:tcBorders>
              <w:top w:val="nil"/>
              <w:left w:val="nil"/>
              <w:bottom w:val="single" w:sz="4" w:space="0" w:color="auto"/>
              <w:right w:val="single" w:sz="4" w:space="0" w:color="auto"/>
            </w:tcBorders>
            <w:shd w:val="clear" w:color="000000" w:fill="FFFFFF"/>
            <w:noWrap/>
            <w:vAlign w:val="bottom"/>
            <w:hideMark/>
          </w:tcPr>
          <w:p w14:paraId="5FAFE8A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0.54%</w:t>
            </w:r>
          </w:p>
        </w:tc>
        <w:tc>
          <w:tcPr>
            <w:tcW w:w="1248" w:type="dxa"/>
            <w:tcBorders>
              <w:top w:val="nil"/>
              <w:left w:val="nil"/>
              <w:bottom w:val="single" w:sz="4" w:space="0" w:color="auto"/>
              <w:right w:val="single" w:sz="4" w:space="0" w:color="auto"/>
            </w:tcBorders>
            <w:shd w:val="clear" w:color="000000" w:fill="FFFFFF"/>
            <w:noWrap/>
            <w:vAlign w:val="bottom"/>
            <w:hideMark/>
          </w:tcPr>
          <w:p w14:paraId="7A7E64D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90</w:t>
            </w:r>
          </w:p>
        </w:tc>
      </w:tr>
      <w:tr w:rsidR="00B97B6A" w:rsidRPr="00F96EBF" w14:paraId="41548B56"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945B353"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Catalonia</w:t>
            </w:r>
          </w:p>
        </w:tc>
        <w:tc>
          <w:tcPr>
            <w:tcW w:w="835" w:type="dxa"/>
            <w:tcBorders>
              <w:top w:val="nil"/>
              <w:left w:val="nil"/>
              <w:bottom w:val="single" w:sz="4" w:space="0" w:color="auto"/>
              <w:right w:val="single" w:sz="4" w:space="0" w:color="auto"/>
            </w:tcBorders>
            <w:shd w:val="clear" w:color="000000" w:fill="FFFFFF"/>
            <w:noWrap/>
            <w:vAlign w:val="bottom"/>
            <w:hideMark/>
          </w:tcPr>
          <w:p w14:paraId="61FD4E3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82.9</w:t>
            </w:r>
          </w:p>
        </w:tc>
        <w:tc>
          <w:tcPr>
            <w:tcW w:w="850" w:type="dxa"/>
            <w:tcBorders>
              <w:top w:val="nil"/>
              <w:left w:val="nil"/>
              <w:bottom w:val="single" w:sz="4" w:space="0" w:color="auto"/>
              <w:right w:val="single" w:sz="4" w:space="0" w:color="auto"/>
            </w:tcBorders>
            <w:shd w:val="clear" w:color="000000" w:fill="FFFFFF"/>
            <w:noWrap/>
            <w:vAlign w:val="bottom"/>
            <w:hideMark/>
          </w:tcPr>
          <w:p w14:paraId="4DAE96B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76.6</w:t>
            </w:r>
          </w:p>
        </w:tc>
        <w:tc>
          <w:tcPr>
            <w:tcW w:w="860" w:type="dxa"/>
            <w:tcBorders>
              <w:top w:val="nil"/>
              <w:left w:val="nil"/>
              <w:bottom w:val="single" w:sz="4" w:space="0" w:color="auto"/>
              <w:right w:val="single" w:sz="4" w:space="0" w:color="auto"/>
            </w:tcBorders>
            <w:shd w:val="clear" w:color="000000" w:fill="FFFFFF"/>
            <w:noWrap/>
            <w:vAlign w:val="bottom"/>
            <w:hideMark/>
          </w:tcPr>
          <w:p w14:paraId="3DD95C5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-2.92%</w:t>
            </w:r>
          </w:p>
        </w:tc>
        <w:tc>
          <w:tcPr>
            <w:tcW w:w="860" w:type="dxa"/>
            <w:tcBorders>
              <w:top w:val="nil"/>
              <w:left w:val="nil"/>
              <w:bottom w:val="single" w:sz="4" w:space="0" w:color="auto"/>
              <w:right w:val="single" w:sz="4" w:space="0" w:color="auto"/>
            </w:tcBorders>
            <w:shd w:val="clear" w:color="000000" w:fill="FFFFFF"/>
            <w:noWrap/>
            <w:vAlign w:val="bottom"/>
            <w:hideMark/>
          </w:tcPr>
          <w:p w14:paraId="56B8A90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1.64%</w:t>
            </w:r>
          </w:p>
        </w:tc>
        <w:tc>
          <w:tcPr>
            <w:tcW w:w="860" w:type="dxa"/>
            <w:tcBorders>
              <w:top w:val="nil"/>
              <w:left w:val="nil"/>
              <w:bottom w:val="single" w:sz="4" w:space="0" w:color="auto"/>
              <w:right w:val="single" w:sz="4" w:space="0" w:color="auto"/>
            </w:tcBorders>
            <w:shd w:val="clear" w:color="000000" w:fill="FFFFFF"/>
            <w:noWrap/>
            <w:vAlign w:val="bottom"/>
            <w:hideMark/>
          </w:tcPr>
          <w:p w14:paraId="053A7F6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-0.60%</w:t>
            </w:r>
          </w:p>
        </w:tc>
        <w:tc>
          <w:tcPr>
            <w:tcW w:w="1248" w:type="dxa"/>
            <w:tcBorders>
              <w:top w:val="nil"/>
              <w:left w:val="nil"/>
              <w:bottom w:val="single" w:sz="4" w:space="0" w:color="auto"/>
              <w:right w:val="single" w:sz="4" w:space="0" w:color="auto"/>
            </w:tcBorders>
            <w:shd w:val="clear" w:color="000000" w:fill="FFFFFF"/>
            <w:noWrap/>
            <w:vAlign w:val="bottom"/>
            <w:hideMark/>
          </w:tcPr>
          <w:p w14:paraId="3036CC9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116.5</w:t>
            </w:r>
          </w:p>
        </w:tc>
      </w:tr>
      <w:tr w:rsidR="00B97B6A" w:rsidRPr="00F96EBF" w14:paraId="23B9F62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372361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Extremadura</w:t>
            </w:r>
          </w:p>
        </w:tc>
        <w:tc>
          <w:tcPr>
            <w:tcW w:w="835" w:type="dxa"/>
            <w:tcBorders>
              <w:top w:val="nil"/>
              <w:left w:val="nil"/>
              <w:bottom w:val="single" w:sz="4" w:space="0" w:color="auto"/>
              <w:right w:val="single" w:sz="4" w:space="0" w:color="auto"/>
            </w:tcBorders>
            <w:shd w:val="clear" w:color="000000" w:fill="FFFFFF"/>
            <w:noWrap/>
            <w:vAlign w:val="bottom"/>
            <w:hideMark/>
          </w:tcPr>
          <w:p w14:paraId="2F91CDA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55</w:t>
            </w:r>
          </w:p>
        </w:tc>
        <w:tc>
          <w:tcPr>
            <w:tcW w:w="850" w:type="dxa"/>
            <w:tcBorders>
              <w:top w:val="nil"/>
              <w:left w:val="nil"/>
              <w:bottom w:val="single" w:sz="4" w:space="0" w:color="auto"/>
              <w:right w:val="single" w:sz="4" w:space="0" w:color="auto"/>
            </w:tcBorders>
            <w:shd w:val="clear" w:color="000000" w:fill="FFFFFF"/>
            <w:noWrap/>
            <w:vAlign w:val="bottom"/>
            <w:hideMark/>
          </w:tcPr>
          <w:p w14:paraId="078B231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64.2</w:t>
            </w:r>
          </w:p>
        </w:tc>
        <w:tc>
          <w:tcPr>
            <w:tcW w:w="860" w:type="dxa"/>
            <w:tcBorders>
              <w:top w:val="nil"/>
              <w:left w:val="nil"/>
              <w:bottom w:val="single" w:sz="4" w:space="0" w:color="auto"/>
              <w:right w:val="single" w:sz="4" w:space="0" w:color="auto"/>
            </w:tcBorders>
            <w:shd w:val="clear" w:color="000000" w:fill="FFFFFF"/>
            <w:noWrap/>
            <w:vAlign w:val="bottom"/>
            <w:hideMark/>
          </w:tcPr>
          <w:p w14:paraId="7FCEBFC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-1.28%</w:t>
            </w:r>
          </w:p>
        </w:tc>
        <w:tc>
          <w:tcPr>
            <w:tcW w:w="860" w:type="dxa"/>
            <w:tcBorders>
              <w:top w:val="nil"/>
              <w:left w:val="nil"/>
              <w:bottom w:val="single" w:sz="4" w:space="0" w:color="auto"/>
              <w:right w:val="single" w:sz="4" w:space="0" w:color="auto"/>
            </w:tcBorders>
            <w:shd w:val="clear" w:color="000000" w:fill="FFFFFF"/>
            <w:noWrap/>
            <w:vAlign w:val="bottom"/>
            <w:hideMark/>
          </w:tcPr>
          <w:p w14:paraId="39A0815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2.97%</w:t>
            </w:r>
          </w:p>
        </w:tc>
        <w:tc>
          <w:tcPr>
            <w:tcW w:w="860" w:type="dxa"/>
            <w:tcBorders>
              <w:top w:val="nil"/>
              <w:left w:val="nil"/>
              <w:bottom w:val="single" w:sz="4" w:space="0" w:color="auto"/>
              <w:right w:val="single" w:sz="4" w:space="0" w:color="auto"/>
            </w:tcBorders>
            <w:shd w:val="clear" w:color="000000" w:fill="FFFFFF"/>
            <w:noWrap/>
            <w:vAlign w:val="bottom"/>
            <w:hideMark/>
          </w:tcPr>
          <w:p w14:paraId="5D8E180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1.20%</w:t>
            </w:r>
          </w:p>
        </w:tc>
        <w:tc>
          <w:tcPr>
            <w:tcW w:w="1248" w:type="dxa"/>
            <w:tcBorders>
              <w:top w:val="nil"/>
              <w:left w:val="nil"/>
              <w:bottom w:val="single" w:sz="4" w:space="0" w:color="auto"/>
              <w:right w:val="single" w:sz="4" w:space="0" w:color="auto"/>
            </w:tcBorders>
            <w:shd w:val="clear" w:color="000000" w:fill="FFFFFF"/>
            <w:noWrap/>
            <w:vAlign w:val="bottom"/>
            <w:hideMark/>
          </w:tcPr>
          <w:p w14:paraId="2F3BC9D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97.6</w:t>
            </w:r>
          </w:p>
        </w:tc>
      </w:tr>
      <w:tr w:rsidR="00B97B6A" w:rsidRPr="00F96EBF" w14:paraId="43A9B9B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025C602"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Galicia</w:t>
            </w:r>
          </w:p>
        </w:tc>
        <w:tc>
          <w:tcPr>
            <w:tcW w:w="835" w:type="dxa"/>
            <w:tcBorders>
              <w:top w:val="nil"/>
              <w:left w:val="nil"/>
              <w:bottom w:val="single" w:sz="4" w:space="0" w:color="auto"/>
              <w:right w:val="single" w:sz="4" w:space="0" w:color="auto"/>
            </w:tcBorders>
            <w:shd w:val="clear" w:color="000000" w:fill="FFFFFF"/>
            <w:noWrap/>
            <w:vAlign w:val="bottom"/>
            <w:hideMark/>
          </w:tcPr>
          <w:p w14:paraId="342A144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58.4</w:t>
            </w:r>
          </w:p>
        </w:tc>
        <w:tc>
          <w:tcPr>
            <w:tcW w:w="850" w:type="dxa"/>
            <w:tcBorders>
              <w:top w:val="nil"/>
              <w:left w:val="nil"/>
              <w:bottom w:val="single" w:sz="4" w:space="0" w:color="auto"/>
              <w:right w:val="single" w:sz="4" w:space="0" w:color="auto"/>
            </w:tcBorders>
            <w:shd w:val="clear" w:color="000000" w:fill="FFFFFF"/>
            <w:noWrap/>
            <w:vAlign w:val="bottom"/>
            <w:hideMark/>
          </w:tcPr>
          <w:p w14:paraId="4D5850D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66.7</w:t>
            </w:r>
          </w:p>
        </w:tc>
        <w:tc>
          <w:tcPr>
            <w:tcW w:w="860" w:type="dxa"/>
            <w:tcBorders>
              <w:top w:val="nil"/>
              <w:left w:val="nil"/>
              <w:bottom w:val="single" w:sz="4" w:space="0" w:color="auto"/>
              <w:right w:val="single" w:sz="4" w:space="0" w:color="auto"/>
            </w:tcBorders>
            <w:shd w:val="clear" w:color="000000" w:fill="FFFFFF"/>
            <w:noWrap/>
            <w:vAlign w:val="bottom"/>
            <w:hideMark/>
          </w:tcPr>
          <w:p w14:paraId="5023182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0.34%</w:t>
            </w:r>
          </w:p>
        </w:tc>
        <w:tc>
          <w:tcPr>
            <w:tcW w:w="860" w:type="dxa"/>
            <w:tcBorders>
              <w:top w:val="nil"/>
              <w:left w:val="nil"/>
              <w:bottom w:val="single" w:sz="4" w:space="0" w:color="auto"/>
              <w:right w:val="single" w:sz="4" w:space="0" w:color="auto"/>
            </w:tcBorders>
            <w:shd w:val="clear" w:color="000000" w:fill="FFFFFF"/>
            <w:noWrap/>
            <w:vAlign w:val="bottom"/>
            <w:hideMark/>
          </w:tcPr>
          <w:p w14:paraId="6D62A99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1.86%</w:t>
            </w:r>
          </w:p>
        </w:tc>
        <w:tc>
          <w:tcPr>
            <w:tcW w:w="860" w:type="dxa"/>
            <w:tcBorders>
              <w:top w:val="nil"/>
              <w:left w:val="nil"/>
              <w:bottom w:val="single" w:sz="4" w:space="0" w:color="auto"/>
              <w:right w:val="single" w:sz="4" w:space="0" w:color="auto"/>
            </w:tcBorders>
            <w:shd w:val="clear" w:color="000000" w:fill="FFFFFF"/>
            <w:noWrap/>
            <w:vAlign w:val="bottom"/>
            <w:hideMark/>
          </w:tcPr>
          <w:p w14:paraId="7D12129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1.02%</w:t>
            </w:r>
          </w:p>
        </w:tc>
        <w:tc>
          <w:tcPr>
            <w:tcW w:w="1248" w:type="dxa"/>
            <w:tcBorders>
              <w:top w:val="nil"/>
              <w:left w:val="nil"/>
              <w:bottom w:val="single" w:sz="4" w:space="0" w:color="auto"/>
              <w:right w:val="single" w:sz="4" w:space="0" w:color="auto"/>
            </w:tcBorders>
            <w:shd w:val="clear" w:color="000000" w:fill="FFFFFF"/>
            <w:noWrap/>
            <w:vAlign w:val="bottom"/>
            <w:hideMark/>
          </w:tcPr>
          <w:p w14:paraId="39606FB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101.3</w:t>
            </w:r>
          </w:p>
        </w:tc>
      </w:tr>
      <w:tr w:rsidR="00B97B6A" w:rsidRPr="00F96EBF" w14:paraId="2E5DCC46"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147325E"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Madrid</w:t>
            </w:r>
          </w:p>
        </w:tc>
        <w:tc>
          <w:tcPr>
            <w:tcW w:w="835" w:type="dxa"/>
            <w:tcBorders>
              <w:top w:val="nil"/>
              <w:left w:val="nil"/>
              <w:bottom w:val="single" w:sz="4" w:space="0" w:color="auto"/>
              <w:right w:val="single" w:sz="4" w:space="0" w:color="auto"/>
            </w:tcBorders>
            <w:shd w:val="clear" w:color="000000" w:fill="FFFFFF"/>
            <w:noWrap/>
            <w:vAlign w:val="bottom"/>
            <w:hideMark/>
          </w:tcPr>
          <w:p w14:paraId="03642E8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60.7</w:t>
            </w:r>
          </w:p>
        </w:tc>
        <w:tc>
          <w:tcPr>
            <w:tcW w:w="850" w:type="dxa"/>
            <w:tcBorders>
              <w:top w:val="nil"/>
              <w:left w:val="nil"/>
              <w:bottom w:val="single" w:sz="4" w:space="0" w:color="auto"/>
              <w:right w:val="single" w:sz="4" w:space="0" w:color="auto"/>
            </w:tcBorders>
            <w:shd w:val="clear" w:color="000000" w:fill="FFFFFF"/>
            <w:noWrap/>
            <w:vAlign w:val="bottom"/>
            <w:hideMark/>
          </w:tcPr>
          <w:p w14:paraId="35596D2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66.7</w:t>
            </w:r>
          </w:p>
        </w:tc>
        <w:tc>
          <w:tcPr>
            <w:tcW w:w="860" w:type="dxa"/>
            <w:tcBorders>
              <w:top w:val="nil"/>
              <w:left w:val="nil"/>
              <w:bottom w:val="single" w:sz="4" w:space="0" w:color="auto"/>
              <w:right w:val="single" w:sz="4" w:space="0" w:color="auto"/>
            </w:tcBorders>
            <w:shd w:val="clear" w:color="000000" w:fill="FFFFFF"/>
            <w:noWrap/>
            <w:vAlign w:val="bottom"/>
            <w:hideMark/>
          </w:tcPr>
          <w:p w14:paraId="42BD138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-0.14%</w:t>
            </w:r>
          </w:p>
        </w:tc>
        <w:tc>
          <w:tcPr>
            <w:tcW w:w="860" w:type="dxa"/>
            <w:tcBorders>
              <w:top w:val="nil"/>
              <w:left w:val="nil"/>
              <w:bottom w:val="single" w:sz="4" w:space="0" w:color="auto"/>
              <w:right w:val="single" w:sz="4" w:space="0" w:color="auto"/>
            </w:tcBorders>
            <w:shd w:val="clear" w:color="000000" w:fill="FFFFFF"/>
            <w:noWrap/>
            <w:vAlign w:val="bottom"/>
            <w:hideMark/>
          </w:tcPr>
          <w:p w14:paraId="6AA43D1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1.92%</w:t>
            </w:r>
          </w:p>
        </w:tc>
        <w:tc>
          <w:tcPr>
            <w:tcW w:w="860" w:type="dxa"/>
            <w:tcBorders>
              <w:top w:val="nil"/>
              <w:left w:val="nil"/>
              <w:bottom w:val="single" w:sz="4" w:space="0" w:color="auto"/>
              <w:right w:val="single" w:sz="4" w:space="0" w:color="auto"/>
            </w:tcBorders>
            <w:shd w:val="clear" w:color="000000" w:fill="FFFFFF"/>
            <w:noWrap/>
            <w:vAlign w:val="bottom"/>
            <w:hideMark/>
          </w:tcPr>
          <w:p w14:paraId="39C8D45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0.73%</w:t>
            </w:r>
          </w:p>
        </w:tc>
        <w:tc>
          <w:tcPr>
            <w:tcW w:w="1248" w:type="dxa"/>
            <w:tcBorders>
              <w:top w:val="nil"/>
              <w:left w:val="nil"/>
              <w:bottom w:val="single" w:sz="4" w:space="0" w:color="auto"/>
              <w:right w:val="single" w:sz="4" w:space="0" w:color="auto"/>
            </w:tcBorders>
            <w:shd w:val="clear" w:color="000000" w:fill="FFFFFF"/>
            <w:noWrap/>
            <w:vAlign w:val="bottom"/>
            <w:hideMark/>
          </w:tcPr>
          <w:p w14:paraId="68876C9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101.4</w:t>
            </w:r>
          </w:p>
        </w:tc>
      </w:tr>
      <w:tr w:rsidR="00B97B6A" w:rsidRPr="00F96EBF" w14:paraId="23884004"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F727717"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Murcia</w:t>
            </w:r>
          </w:p>
        </w:tc>
        <w:tc>
          <w:tcPr>
            <w:tcW w:w="835" w:type="dxa"/>
            <w:tcBorders>
              <w:top w:val="nil"/>
              <w:left w:val="nil"/>
              <w:bottom w:val="single" w:sz="4" w:space="0" w:color="auto"/>
              <w:right w:val="single" w:sz="4" w:space="0" w:color="auto"/>
            </w:tcBorders>
            <w:shd w:val="clear" w:color="000000" w:fill="FFFFFF"/>
            <w:noWrap/>
            <w:vAlign w:val="bottom"/>
            <w:hideMark/>
          </w:tcPr>
          <w:p w14:paraId="454F892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55</w:t>
            </w:r>
          </w:p>
        </w:tc>
        <w:tc>
          <w:tcPr>
            <w:tcW w:w="850" w:type="dxa"/>
            <w:tcBorders>
              <w:top w:val="nil"/>
              <w:left w:val="nil"/>
              <w:bottom w:val="single" w:sz="4" w:space="0" w:color="auto"/>
              <w:right w:val="single" w:sz="4" w:space="0" w:color="auto"/>
            </w:tcBorders>
            <w:shd w:val="clear" w:color="000000" w:fill="FFFFFF"/>
            <w:noWrap/>
            <w:vAlign w:val="bottom"/>
            <w:hideMark/>
          </w:tcPr>
          <w:p w14:paraId="174D177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59.6</w:t>
            </w:r>
          </w:p>
        </w:tc>
        <w:tc>
          <w:tcPr>
            <w:tcW w:w="860" w:type="dxa"/>
            <w:tcBorders>
              <w:top w:val="nil"/>
              <w:left w:val="nil"/>
              <w:bottom w:val="single" w:sz="4" w:space="0" w:color="auto"/>
              <w:right w:val="single" w:sz="4" w:space="0" w:color="auto"/>
            </w:tcBorders>
            <w:shd w:val="clear" w:color="000000" w:fill="FFFFFF"/>
            <w:noWrap/>
            <w:vAlign w:val="bottom"/>
            <w:hideMark/>
          </w:tcPr>
          <w:p w14:paraId="038A5E4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-0.68%</w:t>
            </w:r>
          </w:p>
        </w:tc>
        <w:tc>
          <w:tcPr>
            <w:tcW w:w="860" w:type="dxa"/>
            <w:tcBorders>
              <w:top w:val="nil"/>
              <w:left w:val="nil"/>
              <w:bottom w:val="single" w:sz="4" w:space="0" w:color="auto"/>
              <w:right w:val="single" w:sz="4" w:space="0" w:color="auto"/>
            </w:tcBorders>
            <w:shd w:val="clear" w:color="000000" w:fill="FFFFFF"/>
            <w:noWrap/>
            <w:vAlign w:val="bottom"/>
            <w:hideMark/>
          </w:tcPr>
          <w:p w14:paraId="6E5014D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1.95%</w:t>
            </w:r>
          </w:p>
        </w:tc>
        <w:tc>
          <w:tcPr>
            <w:tcW w:w="860" w:type="dxa"/>
            <w:tcBorders>
              <w:top w:val="nil"/>
              <w:left w:val="nil"/>
              <w:bottom w:val="single" w:sz="4" w:space="0" w:color="auto"/>
              <w:right w:val="single" w:sz="4" w:space="0" w:color="auto"/>
            </w:tcBorders>
            <w:shd w:val="clear" w:color="000000" w:fill="FFFFFF"/>
            <w:noWrap/>
            <w:vAlign w:val="bottom"/>
            <w:hideMark/>
          </w:tcPr>
          <w:p w14:paraId="113CAC1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0.62%</w:t>
            </w:r>
          </w:p>
        </w:tc>
        <w:tc>
          <w:tcPr>
            <w:tcW w:w="1248" w:type="dxa"/>
            <w:tcBorders>
              <w:top w:val="nil"/>
              <w:left w:val="nil"/>
              <w:bottom w:val="single" w:sz="4" w:space="0" w:color="auto"/>
              <w:right w:val="single" w:sz="4" w:space="0" w:color="auto"/>
            </w:tcBorders>
            <w:shd w:val="clear" w:color="000000" w:fill="FFFFFF"/>
            <w:noWrap/>
            <w:vAlign w:val="bottom"/>
            <w:hideMark/>
          </w:tcPr>
          <w:p w14:paraId="5FA3A1E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90.6</w:t>
            </w:r>
          </w:p>
        </w:tc>
      </w:tr>
      <w:tr w:rsidR="00B97B6A" w:rsidRPr="00F96EBF" w14:paraId="762CE2A1"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D0CAC6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Navarre</w:t>
            </w:r>
          </w:p>
        </w:tc>
        <w:tc>
          <w:tcPr>
            <w:tcW w:w="835" w:type="dxa"/>
            <w:tcBorders>
              <w:top w:val="nil"/>
              <w:left w:val="nil"/>
              <w:bottom w:val="single" w:sz="4" w:space="0" w:color="auto"/>
              <w:right w:val="single" w:sz="4" w:space="0" w:color="auto"/>
            </w:tcBorders>
            <w:shd w:val="clear" w:color="000000" w:fill="FFFFFF"/>
            <w:noWrap/>
            <w:vAlign w:val="bottom"/>
            <w:hideMark/>
          </w:tcPr>
          <w:p w14:paraId="2A3EA1D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68.2</w:t>
            </w:r>
          </w:p>
        </w:tc>
        <w:tc>
          <w:tcPr>
            <w:tcW w:w="850" w:type="dxa"/>
            <w:tcBorders>
              <w:top w:val="nil"/>
              <w:left w:val="nil"/>
              <w:bottom w:val="single" w:sz="4" w:space="0" w:color="auto"/>
              <w:right w:val="single" w:sz="4" w:space="0" w:color="auto"/>
            </w:tcBorders>
            <w:shd w:val="clear" w:color="000000" w:fill="FFFFFF"/>
            <w:noWrap/>
            <w:vAlign w:val="bottom"/>
            <w:hideMark/>
          </w:tcPr>
          <w:p w14:paraId="3FD2A3D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72.6</w:t>
            </w:r>
          </w:p>
        </w:tc>
        <w:tc>
          <w:tcPr>
            <w:tcW w:w="860" w:type="dxa"/>
            <w:tcBorders>
              <w:top w:val="nil"/>
              <w:left w:val="nil"/>
              <w:bottom w:val="single" w:sz="4" w:space="0" w:color="auto"/>
              <w:right w:val="single" w:sz="4" w:space="0" w:color="auto"/>
            </w:tcBorders>
            <w:shd w:val="clear" w:color="000000" w:fill="FFFFFF"/>
            <w:noWrap/>
            <w:vAlign w:val="bottom"/>
            <w:hideMark/>
          </w:tcPr>
          <w:p w14:paraId="0EE3816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-0.32%</w:t>
            </w:r>
          </w:p>
        </w:tc>
        <w:tc>
          <w:tcPr>
            <w:tcW w:w="860" w:type="dxa"/>
            <w:tcBorders>
              <w:top w:val="nil"/>
              <w:left w:val="nil"/>
              <w:bottom w:val="single" w:sz="4" w:space="0" w:color="auto"/>
              <w:right w:val="single" w:sz="4" w:space="0" w:color="auto"/>
            </w:tcBorders>
            <w:shd w:val="clear" w:color="000000" w:fill="FFFFFF"/>
            <w:noWrap/>
            <w:vAlign w:val="bottom"/>
            <w:hideMark/>
          </w:tcPr>
          <w:p w14:paraId="48E875F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1.33%</w:t>
            </w:r>
          </w:p>
        </w:tc>
        <w:tc>
          <w:tcPr>
            <w:tcW w:w="860" w:type="dxa"/>
            <w:tcBorders>
              <w:top w:val="nil"/>
              <w:left w:val="nil"/>
              <w:bottom w:val="single" w:sz="4" w:space="0" w:color="auto"/>
              <w:right w:val="single" w:sz="4" w:space="0" w:color="auto"/>
            </w:tcBorders>
            <w:shd w:val="clear" w:color="000000" w:fill="FFFFFF"/>
            <w:noWrap/>
            <w:vAlign w:val="bottom"/>
            <w:hideMark/>
          </w:tcPr>
          <w:p w14:paraId="1902FA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0.49%</w:t>
            </w:r>
          </w:p>
        </w:tc>
        <w:tc>
          <w:tcPr>
            <w:tcW w:w="1248" w:type="dxa"/>
            <w:tcBorders>
              <w:top w:val="nil"/>
              <w:left w:val="nil"/>
              <w:bottom w:val="single" w:sz="4" w:space="0" w:color="auto"/>
              <w:right w:val="single" w:sz="4" w:space="0" w:color="auto"/>
            </w:tcBorders>
            <w:shd w:val="clear" w:color="000000" w:fill="FFFFFF"/>
            <w:noWrap/>
            <w:vAlign w:val="bottom"/>
            <w:hideMark/>
          </w:tcPr>
          <w:p w14:paraId="223F6C5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110.4</w:t>
            </w:r>
          </w:p>
        </w:tc>
      </w:tr>
      <w:tr w:rsidR="00B97B6A" w:rsidRPr="00F96EBF" w14:paraId="1EA42AD3"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2FF3931"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La Rioja</w:t>
            </w:r>
          </w:p>
        </w:tc>
        <w:tc>
          <w:tcPr>
            <w:tcW w:w="835" w:type="dxa"/>
            <w:tcBorders>
              <w:top w:val="nil"/>
              <w:left w:val="nil"/>
              <w:bottom w:val="single" w:sz="4" w:space="0" w:color="auto"/>
              <w:right w:val="single" w:sz="4" w:space="0" w:color="auto"/>
            </w:tcBorders>
            <w:shd w:val="clear" w:color="000000" w:fill="FFFFFF"/>
            <w:noWrap/>
            <w:vAlign w:val="bottom"/>
            <w:hideMark/>
          </w:tcPr>
          <w:p w14:paraId="0441ECA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59.5</w:t>
            </w:r>
          </w:p>
        </w:tc>
        <w:tc>
          <w:tcPr>
            <w:tcW w:w="850" w:type="dxa"/>
            <w:tcBorders>
              <w:top w:val="nil"/>
              <w:left w:val="nil"/>
              <w:bottom w:val="single" w:sz="4" w:space="0" w:color="auto"/>
              <w:right w:val="single" w:sz="4" w:space="0" w:color="auto"/>
            </w:tcBorders>
            <w:shd w:val="clear" w:color="000000" w:fill="FFFFFF"/>
            <w:noWrap/>
            <w:vAlign w:val="bottom"/>
            <w:hideMark/>
          </w:tcPr>
          <w:p w14:paraId="701FE8E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w:t>
            </w:r>
          </w:p>
        </w:tc>
        <w:tc>
          <w:tcPr>
            <w:tcW w:w="860" w:type="dxa"/>
            <w:tcBorders>
              <w:top w:val="nil"/>
              <w:left w:val="nil"/>
              <w:bottom w:val="single" w:sz="4" w:space="0" w:color="auto"/>
              <w:right w:val="single" w:sz="4" w:space="0" w:color="auto"/>
            </w:tcBorders>
            <w:shd w:val="clear" w:color="000000" w:fill="FFFFFF"/>
            <w:noWrap/>
            <w:vAlign w:val="bottom"/>
            <w:hideMark/>
          </w:tcPr>
          <w:p w14:paraId="1336CEE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-0.63%</w:t>
            </w:r>
          </w:p>
        </w:tc>
        <w:tc>
          <w:tcPr>
            <w:tcW w:w="860" w:type="dxa"/>
            <w:tcBorders>
              <w:top w:val="nil"/>
              <w:left w:val="nil"/>
              <w:bottom w:val="single" w:sz="4" w:space="0" w:color="auto"/>
              <w:right w:val="single" w:sz="4" w:space="0" w:color="auto"/>
            </w:tcBorders>
            <w:shd w:val="clear" w:color="000000" w:fill="FFFFFF"/>
            <w:noWrap/>
            <w:vAlign w:val="bottom"/>
            <w:hideMark/>
          </w:tcPr>
          <w:p w14:paraId="38ABED1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2.33%</w:t>
            </w:r>
          </w:p>
        </w:tc>
        <w:tc>
          <w:tcPr>
            <w:tcW w:w="860" w:type="dxa"/>
            <w:tcBorders>
              <w:top w:val="nil"/>
              <w:left w:val="nil"/>
              <w:bottom w:val="single" w:sz="4" w:space="0" w:color="auto"/>
              <w:right w:val="single" w:sz="4" w:space="0" w:color="auto"/>
            </w:tcBorders>
            <w:shd w:val="clear" w:color="000000" w:fill="FFFFFF"/>
            <w:noWrap/>
            <w:vAlign w:val="bottom"/>
            <w:hideMark/>
          </w:tcPr>
          <w:p w14:paraId="36B3C3F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0.80%</w:t>
            </w:r>
          </w:p>
        </w:tc>
        <w:tc>
          <w:tcPr>
            <w:tcW w:w="1248" w:type="dxa"/>
            <w:tcBorders>
              <w:top w:val="nil"/>
              <w:left w:val="nil"/>
              <w:bottom w:val="single" w:sz="4" w:space="0" w:color="auto"/>
              <w:right w:val="single" w:sz="4" w:space="0" w:color="auto"/>
            </w:tcBorders>
            <w:shd w:val="clear" w:color="000000" w:fill="FFFFFF"/>
            <w:noWrap/>
            <w:vAlign w:val="bottom"/>
            <w:hideMark/>
          </w:tcPr>
          <w:p w14:paraId="29723D3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100.3</w:t>
            </w:r>
          </w:p>
        </w:tc>
      </w:tr>
      <w:tr w:rsidR="00B97B6A" w:rsidRPr="00F96EBF" w14:paraId="2449B385"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1B0B9614"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Valencian Community</w:t>
            </w:r>
          </w:p>
        </w:tc>
        <w:tc>
          <w:tcPr>
            <w:tcW w:w="835" w:type="dxa"/>
            <w:tcBorders>
              <w:top w:val="nil"/>
              <w:left w:val="nil"/>
              <w:bottom w:val="single" w:sz="4" w:space="0" w:color="auto"/>
              <w:right w:val="single" w:sz="4" w:space="0" w:color="auto"/>
            </w:tcBorders>
            <w:shd w:val="clear" w:color="000000" w:fill="FFFFFF"/>
            <w:noWrap/>
            <w:vAlign w:val="bottom"/>
            <w:hideMark/>
          </w:tcPr>
          <w:p w14:paraId="2689444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58</w:t>
            </w:r>
          </w:p>
        </w:tc>
        <w:tc>
          <w:tcPr>
            <w:tcW w:w="850" w:type="dxa"/>
            <w:tcBorders>
              <w:top w:val="nil"/>
              <w:left w:val="nil"/>
              <w:bottom w:val="single" w:sz="4" w:space="0" w:color="auto"/>
              <w:right w:val="single" w:sz="4" w:space="0" w:color="auto"/>
            </w:tcBorders>
            <w:shd w:val="clear" w:color="000000" w:fill="FFFFFF"/>
            <w:noWrap/>
            <w:vAlign w:val="bottom"/>
            <w:hideMark/>
          </w:tcPr>
          <w:p w14:paraId="7B0DF8F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61.5</w:t>
            </w:r>
          </w:p>
        </w:tc>
        <w:tc>
          <w:tcPr>
            <w:tcW w:w="860" w:type="dxa"/>
            <w:tcBorders>
              <w:top w:val="nil"/>
              <w:left w:val="nil"/>
              <w:bottom w:val="single" w:sz="4" w:space="0" w:color="auto"/>
              <w:right w:val="single" w:sz="4" w:space="0" w:color="auto"/>
            </w:tcBorders>
            <w:shd w:val="clear" w:color="000000" w:fill="FFFFFF"/>
            <w:noWrap/>
            <w:vAlign w:val="bottom"/>
            <w:hideMark/>
          </w:tcPr>
          <w:p w14:paraId="62140D8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-0.79%</w:t>
            </w:r>
          </w:p>
        </w:tc>
        <w:tc>
          <w:tcPr>
            <w:tcW w:w="860" w:type="dxa"/>
            <w:tcBorders>
              <w:top w:val="nil"/>
              <w:left w:val="nil"/>
              <w:bottom w:val="single" w:sz="4" w:space="0" w:color="auto"/>
              <w:right w:val="single" w:sz="4" w:space="0" w:color="auto"/>
            </w:tcBorders>
            <w:shd w:val="clear" w:color="000000" w:fill="FFFFFF"/>
            <w:noWrap/>
            <w:vAlign w:val="bottom"/>
            <w:hideMark/>
          </w:tcPr>
          <w:p w14:paraId="3657646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1.41%</w:t>
            </w:r>
          </w:p>
        </w:tc>
        <w:tc>
          <w:tcPr>
            <w:tcW w:w="860" w:type="dxa"/>
            <w:tcBorders>
              <w:top w:val="nil"/>
              <w:left w:val="nil"/>
              <w:bottom w:val="single" w:sz="4" w:space="0" w:color="auto"/>
              <w:right w:val="single" w:sz="4" w:space="0" w:color="auto"/>
            </w:tcBorders>
            <w:shd w:val="clear" w:color="000000" w:fill="FFFFFF"/>
            <w:noWrap/>
            <w:vAlign w:val="bottom"/>
            <w:hideMark/>
          </w:tcPr>
          <w:p w14:paraId="51B2DED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0.46%</w:t>
            </w:r>
          </w:p>
        </w:tc>
        <w:tc>
          <w:tcPr>
            <w:tcW w:w="1248" w:type="dxa"/>
            <w:tcBorders>
              <w:top w:val="nil"/>
              <w:left w:val="nil"/>
              <w:bottom w:val="single" w:sz="4" w:space="0" w:color="auto"/>
              <w:right w:val="single" w:sz="4" w:space="0" w:color="auto"/>
            </w:tcBorders>
            <w:shd w:val="clear" w:color="000000" w:fill="FFFFFF"/>
            <w:noWrap/>
            <w:vAlign w:val="bottom"/>
            <w:hideMark/>
          </w:tcPr>
          <w:p w14:paraId="561CA74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93.5</w:t>
            </w:r>
          </w:p>
        </w:tc>
      </w:tr>
      <w:tr w:rsidR="00B97B6A" w:rsidRPr="00F96EBF" w14:paraId="5219FC4D"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A78CAA9"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Spain</w:t>
            </w:r>
          </w:p>
        </w:tc>
        <w:tc>
          <w:tcPr>
            <w:tcW w:w="835" w:type="dxa"/>
            <w:tcBorders>
              <w:top w:val="nil"/>
              <w:left w:val="nil"/>
              <w:bottom w:val="single" w:sz="4" w:space="0" w:color="auto"/>
              <w:right w:val="single" w:sz="4" w:space="0" w:color="auto"/>
            </w:tcBorders>
            <w:shd w:val="clear" w:color="000000" w:fill="FFFFFF"/>
            <w:noWrap/>
            <w:vAlign w:val="bottom"/>
            <w:hideMark/>
          </w:tcPr>
          <w:p w14:paraId="47038AF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62</w:t>
            </w:r>
          </w:p>
        </w:tc>
        <w:tc>
          <w:tcPr>
            <w:tcW w:w="850" w:type="dxa"/>
            <w:tcBorders>
              <w:top w:val="nil"/>
              <w:left w:val="nil"/>
              <w:bottom w:val="single" w:sz="4" w:space="0" w:color="auto"/>
              <w:right w:val="single" w:sz="4" w:space="0" w:color="auto"/>
            </w:tcBorders>
            <w:shd w:val="clear" w:color="000000" w:fill="FFFFFF"/>
            <w:noWrap/>
            <w:vAlign w:val="bottom"/>
            <w:hideMark/>
          </w:tcPr>
          <w:p w14:paraId="6DF6E9D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65.8</w:t>
            </w:r>
          </w:p>
        </w:tc>
        <w:tc>
          <w:tcPr>
            <w:tcW w:w="860" w:type="dxa"/>
            <w:tcBorders>
              <w:top w:val="nil"/>
              <w:left w:val="nil"/>
              <w:bottom w:val="single" w:sz="4" w:space="0" w:color="auto"/>
              <w:right w:val="single" w:sz="4" w:space="0" w:color="auto"/>
            </w:tcBorders>
            <w:shd w:val="clear" w:color="000000" w:fill="FFFFFF"/>
            <w:noWrap/>
            <w:vAlign w:val="bottom"/>
            <w:hideMark/>
          </w:tcPr>
          <w:p w14:paraId="3475BB3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-1.19%</w:t>
            </w:r>
          </w:p>
        </w:tc>
        <w:tc>
          <w:tcPr>
            <w:tcW w:w="860" w:type="dxa"/>
            <w:tcBorders>
              <w:top w:val="nil"/>
              <w:left w:val="nil"/>
              <w:bottom w:val="single" w:sz="4" w:space="0" w:color="auto"/>
              <w:right w:val="single" w:sz="4" w:space="0" w:color="auto"/>
            </w:tcBorders>
            <w:shd w:val="clear" w:color="000000" w:fill="FFFFFF"/>
            <w:noWrap/>
            <w:vAlign w:val="bottom"/>
            <w:hideMark/>
          </w:tcPr>
          <w:p w14:paraId="239C0C3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1.92%</w:t>
            </w:r>
          </w:p>
        </w:tc>
        <w:tc>
          <w:tcPr>
            <w:tcW w:w="860" w:type="dxa"/>
            <w:tcBorders>
              <w:top w:val="nil"/>
              <w:left w:val="nil"/>
              <w:bottom w:val="single" w:sz="4" w:space="0" w:color="auto"/>
              <w:right w:val="single" w:sz="4" w:space="0" w:color="auto"/>
            </w:tcBorders>
            <w:shd w:val="clear" w:color="000000" w:fill="FFFFFF"/>
            <w:noWrap/>
            <w:vAlign w:val="bottom"/>
            <w:hideMark/>
          </w:tcPr>
          <w:p w14:paraId="348D6EA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0.46%</w:t>
            </w:r>
          </w:p>
        </w:tc>
        <w:tc>
          <w:tcPr>
            <w:tcW w:w="1248" w:type="dxa"/>
            <w:tcBorders>
              <w:top w:val="nil"/>
              <w:left w:val="nil"/>
              <w:bottom w:val="single" w:sz="4" w:space="0" w:color="auto"/>
              <w:right w:val="single" w:sz="4" w:space="0" w:color="auto"/>
            </w:tcBorders>
            <w:shd w:val="clear" w:color="000000" w:fill="FFFFFF"/>
            <w:noWrap/>
            <w:vAlign w:val="bottom"/>
            <w:hideMark/>
          </w:tcPr>
          <w:p w14:paraId="30DAB9E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w:t>
            </w:r>
          </w:p>
        </w:tc>
      </w:tr>
    </w:tbl>
    <w:p w14:paraId="49F0F0B6" w14:textId="0EFA474D" w:rsidR="00310E38" w:rsidRPr="00F96EBF" w:rsidRDefault="00F26374" w:rsidP="006D08A5">
      <w:pPr>
        <w:rPr>
          <w:color w:val="000000" w:themeColor="text1"/>
          <w:sz w:val="22"/>
          <w:szCs w:val="22"/>
          <w:lang w:val="en-GB"/>
        </w:rPr>
      </w:pPr>
      <w:r w:rsidRPr="00813E8F">
        <w:rPr>
          <w:iCs/>
          <w:color w:val="000000" w:themeColor="text1"/>
          <w:sz w:val="22"/>
          <w:szCs w:val="22"/>
          <w:lang w:val="en-GB"/>
        </w:rPr>
        <w:t>Source:</w:t>
      </w:r>
      <w:r w:rsidRPr="00813E8F">
        <w:rPr>
          <w:i/>
          <w:color w:val="000000" w:themeColor="text1"/>
          <w:sz w:val="22"/>
          <w:szCs w:val="22"/>
          <w:lang w:val="en-GB"/>
        </w:rPr>
        <w:t xml:space="preserve"> </w:t>
      </w:r>
      <w:r w:rsidRPr="00813E8F">
        <w:rPr>
          <w:color w:val="000000" w:themeColor="text1"/>
          <w:sz w:val="22"/>
          <w:szCs w:val="22"/>
          <w:lang w:val="en-GB"/>
        </w:rPr>
        <w:t xml:space="preserve">Table constructed by authors </w:t>
      </w:r>
      <w:r w:rsidR="00310E38" w:rsidRPr="00813E8F">
        <w:rPr>
          <w:color w:val="000000" w:themeColor="text1"/>
          <w:sz w:val="22"/>
          <w:szCs w:val="22"/>
          <w:lang w:val="en-GB"/>
        </w:rPr>
        <w:t xml:space="preserve">using </w:t>
      </w:r>
      <w:r w:rsidR="00310E38" w:rsidRPr="00F96EBF">
        <w:rPr>
          <w:color w:val="000000" w:themeColor="text1"/>
          <w:sz w:val="22"/>
          <w:szCs w:val="22"/>
          <w:lang w:val="en-GB"/>
        </w:rPr>
        <w:t xml:space="preserve">data from </w:t>
      </w:r>
      <w:proofErr w:type="spellStart"/>
      <w:r w:rsidR="007D73CD" w:rsidRPr="00EA17FE">
        <w:rPr>
          <w:color w:val="000000" w:themeColor="text1"/>
          <w:sz w:val="22"/>
          <w:szCs w:val="22"/>
          <w:lang w:val="en-GB"/>
        </w:rPr>
        <w:t>Ministerio</w:t>
      </w:r>
      <w:proofErr w:type="spellEnd"/>
      <w:r w:rsidR="007D73CD" w:rsidRPr="00EA17FE">
        <w:rPr>
          <w:color w:val="000000" w:themeColor="text1"/>
          <w:sz w:val="22"/>
          <w:szCs w:val="22"/>
          <w:lang w:val="en-GB"/>
        </w:rPr>
        <w:t xml:space="preserve"> de </w:t>
      </w:r>
      <w:proofErr w:type="spellStart"/>
      <w:r w:rsidR="007D73CD" w:rsidRPr="00EA17FE">
        <w:rPr>
          <w:color w:val="000000" w:themeColor="text1"/>
          <w:sz w:val="22"/>
          <w:szCs w:val="22"/>
          <w:lang w:val="en-GB"/>
        </w:rPr>
        <w:t>Educación</w:t>
      </w:r>
      <w:proofErr w:type="spellEnd"/>
      <w:r w:rsidR="007D73CD">
        <w:rPr>
          <w:color w:val="000000" w:themeColor="text1"/>
          <w:sz w:val="22"/>
          <w:szCs w:val="22"/>
          <w:lang w:val="en-GB"/>
        </w:rPr>
        <w:t xml:space="preserve"> y </w:t>
      </w:r>
      <w:proofErr w:type="spellStart"/>
      <w:r w:rsidR="007D73CD">
        <w:rPr>
          <w:color w:val="000000" w:themeColor="text1"/>
          <w:sz w:val="22"/>
          <w:szCs w:val="22"/>
          <w:lang w:val="en-GB"/>
        </w:rPr>
        <w:t>Formación</w:t>
      </w:r>
      <w:proofErr w:type="spellEnd"/>
      <w:r w:rsidR="007D73CD">
        <w:rPr>
          <w:color w:val="000000" w:themeColor="text1"/>
          <w:sz w:val="22"/>
          <w:szCs w:val="22"/>
          <w:lang w:val="en-GB"/>
        </w:rPr>
        <w:t xml:space="preserve"> </w:t>
      </w:r>
      <w:proofErr w:type="spellStart"/>
      <w:r w:rsidR="007D73CD">
        <w:rPr>
          <w:color w:val="000000" w:themeColor="text1"/>
          <w:sz w:val="22"/>
          <w:szCs w:val="22"/>
          <w:lang w:val="en-GB"/>
        </w:rPr>
        <w:t>Profesional</w:t>
      </w:r>
      <w:proofErr w:type="spellEnd"/>
      <w:r w:rsidR="00E22051">
        <w:rPr>
          <w:color w:val="000000" w:themeColor="text1"/>
          <w:sz w:val="22"/>
          <w:szCs w:val="22"/>
          <w:lang w:val="en-GB"/>
        </w:rPr>
        <w:t xml:space="preserve"> (2019)</w:t>
      </w:r>
    </w:p>
    <w:p w14:paraId="6042DD6A" w14:textId="77777777" w:rsidR="00F26374" w:rsidRPr="00F96EBF" w:rsidRDefault="00F26374" w:rsidP="006D08A5">
      <w:pPr>
        <w:rPr>
          <w:color w:val="000000" w:themeColor="text1"/>
          <w:sz w:val="22"/>
          <w:szCs w:val="22"/>
          <w:lang w:val="en-GB"/>
        </w:rPr>
      </w:pPr>
    </w:p>
    <w:p w14:paraId="3B4F4EAF" w14:textId="5916B9F4" w:rsidR="00310E38" w:rsidRPr="00F96EBF" w:rsidRDefault="00310E38" w:rsidP="006D08A5">
      <w:pPr>
        <w:keepNext/>
        <w:keepLines/>
        <w:rPr>
          <w:color w:val="000000" w:themeColor="text1"/>
          <w:lang w:val="en-GB"/>
        </w:rPr>
      </w:pPr>
      <w:bookmarkStart w:id="9" w:name="_Hlk2527747"/>
      <w:r w:rsidRPr="00FA1175">
        <w:rPr>
          <w:bCs/>
          <w:color w:val="000000" w:themeColor="text1"/>
          <w:lang w:val="en-GB"/>
        </w:rPr>
        <w:lastRenderedPageBreak/>
        <w:t xml:space="preserve">Table </w:t>
      </w:r>
      <w:r w:rsidR="00444FC1">
        <w:rPr>
          <w:bCs/>
          <w:color w:val="000000" w:themeColor="text1"/>
          <w:lang w:val="en-GB"/>
        </w:rPr>
        <w:t>5</w:t>
      </w:r>
      <w:r w:rsidRPr="00FA1175">
        <w:rPr>
          <w:bCs/>
          <w:color w:val="000000" w:themeColor="text1"/>
          <w:lang w:val="en-GB"/>
        </w:rPr>
        <w:t>.</w:t>
      </w:r>
      <w:r w:rsidRPr="00F96EBF">
        <w:rPr>
          <w:b/>
          <w:color w:val="000000" w:themeColor="text1"/>
          <w:lang w:val="en-GB"/>
        </w:rPr>
        <w:t xml:space="preserve"> </w:t>
      </w:r>
      <w:r w:rsidRPr="00F96EBF">
        <w:rPr>
          <w:color w:val="000000" w:themeColor="text1"/>
          <w:lang w:val="en-GB"/>
        </w:rPr>
        <w:t>Graduation rate in ESO by region (%)</w:t>
      </w:r>
    </w:p>
    <w:bookmarkEnd w:id="9"/>
    <w:tbl>
      <w:tblPr>
        <w:tblW w:w="7569" w:type="dxa"/>
        <w:jc w:val="center"/>
        <w:tblCellMar>
          <w:left w:w="70" w:type="dxa"/>
          <w:right w:w="70" w:type="dxa"/>
        </w:tblCellMar>
        <w:tblLook w:val="04A0" w:firstRow="1" w:lastRow="0" w:firstColumn="1" w:lastColumn="0" w:noHBand="0" w:noVBand="1"/>
      </w:tblPr>
      <w:tblGrid>
        <w:gridCol w:w="1988"/>
        <w:gridCol w:w="847"/>
        <w:gridCol w:w="892"/>
        <w:gridCol w:w="856"/>
        <w:gridCol w:w="856"/>
        <w:gridCol w:w="856"/>
        <w:gridCol w:w="1274"/>
      </w:tblGrid>
      <w:tr w:rsidR="00B97B6A" w:rsidRPr="00F96EBF" w14:paraId="017124A0" w14:textId="77777777" w:rsidTr="001A72F4">
        <w:trPr>
          <w:trHeight w:val="506"/>
          <w:jc w:val="center"/>
        </w:trPr>
        <w:tc>
          <w:tcPr>
            <w:tcW w:w="1988" w:type="dxa"/>
            <w:tcBorders>
              <w:top w:val="nil"/>
              <w:left w:val="nil"/>
              <w:bottom w:val="nil"/>
              <w:right w:val="nil"/>
            </w:tcBorders>
            <w:noWrap/>
            <w:vAlign w:val="bottom"/>
            <w:hideMark/>
          </w:tcPr>
          <w:p w14:paraId="6C8A5DDF" w14:textId="77777777" w:rsidR="00310E38" w:rsidRPr="00F96EBF" w:rsidRDefault="00310E38" w:rsidP="006D08A5">
            <w:pPr>
              <w:keepNext/>
              <w:keepLines/>
              <w:rPr>
                <w:color w:val="000000" w:themeColor="text1"/>
                <w:lang w:val="en-GB"/>
              </w:rPr>
            </w:pPr>
          </w:p>
        </w:tc>
        <w:tc>
          <w:tcPr>
            <w:tcW w:w="8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402D19"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w:t>
            </w:r>
          </w:p>
        </w:tc>
        <w:tc>
          <w:tcPr>
            <w:tcW w:w="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EDFF1"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2014/15</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hideMark/>
          </w:tcPr>
          <w:p w14:paraId="75B1DB71"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Cumulative average annual growth rate</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C7569"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Interregional difference (Spain=100)</w:t>
            </w:r>
          </w:p>
        </w:tc>
      </w:tr>
      <w:tr w:rsidR="00B97B6A" w:rsidRPr="00F96EBF" w14:paraId="71C191FA" w14:textId="77777777" w:rsidTr="001A72F4">
        <w:trPr>
          <w:trHeight w:val="334"/>
          <w:jc w:val="center"/>
        </w:trPr>
        <w:tc>
          <w:tcPr>
            <w:tcW w:w="1988" w:type="dxa"/>
            <w:tcBorders>
              <w:top w:val="nil"/>
              <w:left w:val="nil"/>
              <w:bottom w:val="nil"/>
              <w:right w:val="nil"/>
            </w:tcBorders>
            <w:noWrap/>
            <w:vAlign w:val="bottom"/>
            <w:hideMark/>
          </w:tcPr>
          <w:p w14:paraId="6C96BBAE" w14:textId="77777777" w:rsidR="00310E38" w:rsidRPr="00F96EBF" w:rsidRDefault="00310E38" w:rsidP="006D08A5">
            <w:pPr>
              <w:keepNext/>
              <w:keepLines/>
              <w:rPr>
                <w:b/>
                <w:bCs/>
                <w:color w:val="000000" w:themeColor="text1"/>
                <w:sz w:val="20"/>
                <w:szCs w:val="20"/>
                <w:lang w:val="en-GB"/>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DAAECD5" w14:textId="77777777" w:rsidR="00310E38" w:rsidRPr="00F96EBF" w:rsidRDefault="00310E38" w:rsidP="00A4130E">
            <w:pPr>
              <w:keepNext/>
              <w:keepLines/>
              <w:jc w:val="center"/>
              <w:rPr>
                <w:b/>
                <w:bCs/>
                <w:color w:val="000000" w:themeColor="text1"/>
                <w:sz w:val="20"/>
                <w:szCs w:val="20"/>
                <w:lang w:val="en-GB"/>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14C9F0A" w14:textId="77777777" w:rsidR="00310E38" w:rsidRPr="00F96EBF" w:rsidRDefault="00310E38" w:rsidP="00A4130E">
            <w:pPr>
              <w:keepNext/>
              <w:keepLines/>
              <w:jc w:val="center"/>
              <w:rPr>
                <w:b/>
                <w:bCs/>
                <w:color w:val="000000" w:themeColor="text1"/>
                <w:sz w:val="20"/>
                <w:szCs w:val="20"/>
                <w:lang w:val="en-GB"/>
              </w:rPr>
            </w:pPr>
          </w:p>
        </w:tc>
        <w:tc>
          <w:tcPr>
            <w:tcW w:w="856" w:type="dxa"/>
            <w:tcBorders>
              <w:top w:val="nil"/>
              <w:left w:val="nil"/>
              <w:bottom w:val="single" w:sz="4" w:space="0" w:color="auto"/>
              <w:right w:val="single" w:sz="4" w:space="0" w:color="auto"/>
            </w:tcBorders>
            <w:shd w:val="clear" w:color="000000" w:fill="FFFFFF"/>
            <w:vAlign w:val="center"/>
            <w:hideMark/>
          </w:tcPr>
          <w:p w14:paraId="037E1F9F"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2001/02‒2007/08</w:t>
            </w:r>
          </w:p>
        </w:tc>
        <w:tc>
          <w:tcPr>
            <w:tcW w:w="856" w:type="dxa"/>
            <w:tcBorders>
              <w:top w:val="nil"/>
              <w:left w:val="nil"/>
              <w:bottom w:val="single" w:sz="4" w:space="0" w:color="auto"/>
              <w:right w:val="single" w:sz="4" w:space="0" w:color="auto"/>
            </w:tcBorders>
            <w:shd w:val="clear" w:color="000000" w:fill="FFFFFF"/>
            <w:vAlign w:val="center"/>
            <w:hideMark/>
          </w:tcPr>
          <w:p w14:paraId="188FDA33"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2008/09‒2014/15</w:t>
            </w:r>
          </w:p>
        </w:tc>
        <w:tc>
          <w:tcPr>
            <w:tcW w:w="856" w:type="dxa"/>
            <w:tcBorders>
              <w:top w:val="nil"/>
              <w:left w:val="nil"/>
              <w:bottom w:val="single" w:sz="4" w:space="0" w:color="auto"/>
              <w:right w:val="single" w:sz="4" w:space="0" w:color="auto"/>
            </w:tcBorders>
            <w:shd w:val="clear" w:color="000000" w:fill="FFFFFF"/>
            <w:vAlign w:val="center"/>
            <w:hideMark/>
          </w:tcPr>
          <w:p w14:paraId="61B29C49"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Total</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227A7B" w14:textId="77777777" w:rsidR="00310E38" w:rsidRPr="00F96EBF" w:rsidRDefault="00310E38" w:rsidP="00A4130E">
            <w:pPr>
              <w:keepNext/>
              <w:keepLines/>
              <w:jc w:val="center"/>
              <w:rPr>
                <w:b/>
                <w:bCs/>
                <w:color w:val="000000" w:themeColor="text1"/>
                <w:sz w:val="20"/>
                <w:szCs w:val="20"/>
                <w:lang w:val="en-GB"/>
              </w:rPr>
            </w:pPr>
          </w:p>
        </w:tc>
      </w:tr>
      <w:tr w:rsidR="00B97B6A" w:rsidRPr="00F96EBF" w14:paraId="6FB1FDF2" w14:textId="77777777" w:rsidTr="001A72F4">
        <w:trPr>
          <w:trHeight w:val="227"/>
          <w:jc w:val="center"/>
        </w:trPr>
        <w:tc>
          <w:tcPr>
            <w:tcW w:w="19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A2719"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Andalusia</w:t>
            </w:r>
          </w:p>
        </w:tc>
        <w:tc>
          <w:tcPr>
            <w:tcW w:w="847" w:type="dxa"/>
            <w:tcBorders>
              <w:top w:val="nil"/>
              <w:left w:val="nil"/>
              <w:bottom w:val="single" w:sz="4" w:space="0" w:color="auto"/>
              <w:right w:val="single" w:sz="4" w:space="0" w:color="auto"/>
            </w:tcBorders>
            <w:shd w:val="clear" w:color="000000" w:fill="FFFFFF"/>
            <w:noWrap/>
            <w:vAlign w:val="bottom"/>
            <w:hideMark/>
          </w:tcPr>
          <w:p w14:paraId="628AA68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66.2</w:t>
            </w:r>
          </w:p>
        </w:tc>
        <w:tc>
          <w:tcPr>
            <w:tcW w:w="892" w:type="dxa"/>
            <w:tcBorders>
              <w:top w:val="nil"/>
              <w:left w:val="nil"/>
              <w:bottom w:val="single" w:sz="4" w:space="0" w:color="auto"/>
              <w:right w:val="single" w:sz="4" w:space="0" w:color="auto"/>
            </w:tcBorders>
            <w:shd w:val="clear" w:color="000000" w:fill="FFFFFF"/>
            <w:noWrap/>
            <w:vAlign w:val="bottom"/>
            <w:hideMark/>
          </w:tcPr>
          <w:p w14:paraId="7C24391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75.2</w:t>
            </w:r>
          </w:p>
        </w:tc>
        <w:tc>
          <w:tcPr>
            <w:tcW w:w="856" w:type="dxa"/>
            <w:tcBorders>
              <w:top w:val="nil"/>
              <w:left w:val="nil"/>
              <w:bottom w:val="single" w:sz="4" w:space="0" w:color="auto"/>
              <w:right w:val="single" w:sz="4" w:space="0" w:color="auto"/>
            </w:tcBorders>
            <w:shd w:val="clear" w:color="000000" w:fill="FFFFFF"/>
            <w:noWrap/>
            <w:vAlign w:val="bottom"/>
            <w:hideMark/>
          </w:tcPr>
          <w:p w14:paraId="14AF780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-0.48%</w:t>
            </w:r>
          </w:p>
        </w:tc>
        <w:tc>
          <w:tcPr>
            <w:tcW w:w="856" w:type="dxa"/>
            <w:tcBorders>
              <w:top w:val="nil"/>
              <w:left w:val="nil"/>
              <w:bottom w:val="single" w:sz="4" w:space="0" w:color="auto"/>
              <w:right w:val="single" w:sz="4" w:space="0" w:color="auto"/>
            </w:tcBorders>
            <w:shd w:val="clear" w:color="000000" w:fill="FFFFFF"/>
            <w:noWrap/>
            <w:vAlign w:val="bottom"/>
            <w:hideMark/>
          </w:tcPr>
          <w:p w14:paraId="2A9C9FC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0.56%</w:t>
            </w:r>
          </w:p>
        </w:tc>
        <w:tc>
          <w:tcPr>
            <w:tcW w:w="856" w:type="dxa"/>
            <w:tcBorders>
              <w:top w:val="nil"/>
              <w:left w:val="nil"/>
              <w:bottom w:val="single" w:sz="4" w:space="0" w:color="auto"/>
              <w:right w:val="single" w:sz="4" w:space="0" w:color="auto"/>
            </w:tcBorders>
            <w:shd w:val="clear" w:color="000000" w:fill="FFFFFF"/>
            <w:noWrap/>
            <w:vAlign w:val="bottom"/>
            <w:hideMark/>
          </w:tcPr>
          <w:p w14:paraId="55AB4D9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0.98%</w:t>
            </w:r>
          </w:p>
        </w:tc>
        <w:tc>
          <w:tcPr>
            <w:tcW w:w="1274" w:type="dxa"/>
            <w:tcBorders>
              <w:top w:val="nil"/>
              <w:left w:val="nil"/>
              <w:bottom w:val="single" w:sz="4" w:space="0" w:color="auto"/>
              <w:right w:val="single" w:sz="4" w:space="0" w:color="auto"/>
            </w:tcBorders>
            <w:shd w:val="clear" w:color="000000" w:fill="FFFFFF"/>
            <w:noWrap/>
            <w:vAlign w:val="bottom"/>
            <w:hideMark/>
          </w:tcPr>
          <w:p w14:paraId="27CC9D0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96.9</w:t>
            </w:r>
          </w:p>
        </w:tc>
      </w:tr>
      <w:tr w:rsidR="00B97B6A" w:rsidRPr="00F96EBF" w14:paraId="2ED0292C"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1A682148"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Aragón</w:t>
            </w:r>
          </w:p>
        </w:tc>
        <w:tc>
          <w:tcPr>
            <w:tcW w:w="847" w:type="dxa"/>
            <w:tcBorders>
              <w:top w:val="nil"/>
              <w:left w:val="nil"/>
              <w:bottom w:val="single" w:sz="4" w:space="0" w:color="auto"/>
              <w:right w:val="single" w:sz="4" w:space="0" w:color="auto"/>
            </w:tcBorders>
            <w:shd w:val="clear" w:color="000000" w:fill="FFFFFF"/>
            <w:noWrap/>
            <w:vAlign w:val="bottom"/>
            <w:hideMark/>
          </w:tcPr>
          <w:p w14:paraId="27D17E1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75.2</w:t>
            </w:r>
          </w:p>
        </w:tc>
        <w:tc>
          <w:tcPr>
            <w:tcW w:w="892" w:type="dxa"/>
            <w:tcBorders>
              <w:top w:val="nil"/>
              <w:left w:val="nil"/>
              <w:bottom w:val="single" w:sz="4" w:space="0" w:color="auto"/>
              <w:right w:val="single" w:sz="4" w:space="0" w:color="auto"/>
            </w:tcBorders>
            <w:shd w:val="clear" w:color="000000" w:fill="FFFFFF"/>
            <w:noWrap/>
            <w:vAlign w:val="bottom"/>
            <w:hideMark/>
          </w:tcPr>
          <w:p w14:paraId="2ADEA4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74</w:t>
            </w:r>
          </w:p>
        </w:tc>
        <w:tc>
          <w:tcPr>
            <w:tcW w:w="856" w:type="dxa"/>
            <w:tcBorders>
              <w:top w:val="nil"/>
              <w:left w:val="nil"/>
              <w:bottom w:val="single" w:sz="4" w:space="0" w:color="auto"/>
              <w:right w:val="single" w:sz="4" w:space="0" w:color="auto"/>
            </w:tcBorders>
            <w:shd w:val="clear" w:color="000000" w:fill="FFFFFF"/>
            <w:noWrap/>
            <w:vAlign w:val="bottom"/>
            <w:hideMark/>
          </w:tcPr>
          <w:p w14:paraId="3A5C770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-1.09%</w:t>
            </w:r>
          </w:p>
        </w:tc>
        <w:tc>
          <w:tcPr>
            <w:tcW w:w="856" w:type="dxa"/>
            <w:tcBorders>
              <w:top w:val="nil"/>
              <w:left w:val="nil"/>
              <w:bottom w:val="single" w:sz="4" w:space="0" w:color="auto"/>
              <w:right w:val="single" w:sz="4" w:space="0" w:color="auto"/>
            </w:tcBorders>
            <w:shd w:val="clear" w:color="000000" w:fill="FFFFFF"/>
            <w:noWrap/>
            <w:vAlign w:val="bottom"/>
            <w:hideMark/>
          </w:tcPr>
          <w:p w14:paraId="084F9A1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-0.07%</w:t>
            </w:r>
          </w:p>
        </w:tc>
        <w:tc>
          <w:tcPr>
            <w:tcW w:w="856" w:type="dxa"/>
            <w:tcBorders>
              <w:top w:val="nil"/>
              <w:left w:val="nil"/>
              <w:bottom w:val="single" w:sz="4" w:space="0" w:color="auto"/>
              <w:right w:val="single" w:sz="4" w:space="0" w:color="auto"/>
            </w:tcBorders>
            <w:shd w:val="clear" w:color="000000" w:fill="FFFFFF"/>
            <w:noWrap/>
            <w:vAlign w:val="bottom"/>
            <w:hideMark/>
          </w:tcPr>
          <w:p w14:paraId="70D74DE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-0.12%</w:t>
            </w:r>
          </w:p>
        </w:tc>
        <w:tc>
          <w:tcPr>
            <w:tcW w:w="1274" w:type="dxa"/>
            <w:tcBorders>
              <w:top w:val="nil"/>
              <w:left w:val="nil"/>
              <w:bottom w:val="single" w:sz="4" w:space="0" w:color="auto"/>
              <w:right w:val="single" w:sz="4" w:space="0" w:color="auto"/>
            </w:tcBorders>
            <w:shd w:val="clear" w:color="000000" w:fill="FFFFFF"/>
            <w:noWrap/>
            <w:vAlign w:val="bottom"/>
            <w:hideMark/>
          </w:tcPr>
          <w:p w14:paraId="0ED57AA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95.3</w:t>
            </w:r>
          </w:p>
        </w:tc>
      </w:tr>
      <w:tr w:rsidR="00B97B6A" w:rsidRPr="00F96EBF" w14:paraId="3BA68CEB"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02C84D29"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Asturias</w:t>
            </w:r>
          </w:p>
        </w:tc>
        <w:tc>
          <w:tcPr>
            <w:tcW w:w="847" w:type="dxa"/>
            <w:tcBorders>
              <w:top w:val="nil"/>
              <w:left w:val="nil"/>
              <w:bottom w:val="single" w:sz="4" w:space="0" w:color="auto"/>
              <w:right w:val="single" w:sz="4" w:space="0" w:color="auto"/>
            </w:tcBorders>
            <w:shd w:val="clear" w:color="000000" w:fill="FFFFFF"/>
            <w:noWrap/>
            <w:vAlign w:val="bottom"/>
            <w:hideMark/>
          </w:tcPr>
          <w:p w14:paraId="5944DF0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83.3</w:t>
            </w:r>
          </w:p>
        </w:tc>
        <w:tc>
          <w:tcPr>
            <w:tcW w:w="892" w:type="dxa"/>
            <w:tcBorders>
              <w:top w:val="nil"/>
              <w:left w:val="nil"/>
              <w:bottom w:val="single" w:sz="4" w:space="0" w:color="auto"/>
              <w:right w:val="single" w:sz="4" w:space="0" w:color="auto"/>
            </w:tcBorders>
            <w:shd w:val="clear" w:color="000000" w:fill="FFFFFF"/>
            <w:noWrap/>
            <w:vAlign w:val="bottom"/>
            <w:hideMark/>
          </w:tcPr>
          <w:p w14:paraId="422C23A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86.2</w:t>
            </w:r>
          </w:p>
        </w:tc>
        <w:tc>
          <w:tcPr>
            <w:tcW w:w="856" w:type="dxa"/>
            <w:tcBorders>
              <w:top w:val="nil"/>
              <w:left w:val="nil"/>
              <w:bottom w:val="single" w:sz="4" w:space="0" w:color="auto"/>
              <w:right w:val="single" w:sz="4" w:space="0" w:color="auto"/>
            </w:tcBorders>
            <w:shd w:val="clear" w:color="000000" w:fill="FFFFFF"/>
            <w:noWrap/>
            <w:vAlign w:val="bottom"/>
            <w:hideMark/>
          </w:tcPr>
          <w:p w14:paraId="3260729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0.06%</w:t>
            </w:r>
          </w:p>
        </w:tc>
        <w:tc>
          <w:tcPr>
            <w:tcW w:w="856" w:type="dxa"/>
            <w:tcBorders>
              <w:top w:val="nil"/>
              <w:left w:val="nil"/>
              <w:bottom w:val="single" w:sz="4" w:space="0" w:color="auto"/>
              <w:right w:val="single" w:sz="4" w:space="0" w:color="auto"/>
            </w:tcBorders>
            <w:shd w:val="clear" w:color="000000" w:fill="FFFFFF"/>
            <w:noWrap/>
            <w:vAlign w:val="bottom"/>
            <w:hideMark/>
          </w:tcPr>
          <w:p w14:paraId="391807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-0.60%</w:t>
            </w:r>
          </w:p>
        </w:tc>
        <w:tc>
          <w:tcPr>
            <w:tcW w:w="856" w:type="dxa"/>
            <w:tcBorders>
              <w:top w:val="nil"/>
              <w:left w:val="nil"/>
              <w:bottom w:val="single" w:sz="4" w:space="0" w:color="auto"/>
              <w:right w:val="single" w:sz="4" w:space="0" w:color="auto"/>
            </w:tcBorders>
            <w:shd w:val="clear" w:color="000000" w:fill="FFFFFF"/>
            <w:noWrap/>
            <w:vAlign w:val="bottom"/>
            <w:hideMark/>
          </w:tcPr>
          <w:p w14:paraId="69EA8FD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0.27%</w:t>
            </w:r>
          </w:p>
        </w:tc>
        <w:tc>
          <w:tcPr>
            <w:tcW w:w="1274" w:type="dxa"/>
            <w:tcBorders>
              <w:top w:val="nil"/>
              <w:left w:val="nil"/>
              <w:bottom w:val="single" w:sz="4" w:space="0" w:color="auto"/>
              <w:right w:val="single" w:sz="4" w:space="0" w:color="auto"/>
            </w:tcBorders>
            <w:shd w:val="clear" w:color="000000" w:fill="FFFFFF"/>
            <w:noWrap/>
            <w:vAlign w:val="bottom"/>
            <w:hideMark/>
          </w:tcPr>
          <w:p w14:paraId="669D4D2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111.1</w:t>
            </w:r>
          </w:p>
        </w:tc>
      </w:tr>
      <w:tr w:rsidR="00B97B6A" w:rsidRPr="00F96EBF" w14:paraId="594D6922"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7F78D77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Balearic Islands</w:t>
            </w:r>
          </w:p>
        </w:tc>
        <w:tc>
          <w:tcPr>
            <w:tcW w:w="847" w:type="dxa"/>
            <w:tcBorders>
              <w:top w:val="nil"/>
              <w:left w:val="nil"/>
              <w:bottom w:val="single" w:sz="4" w:space="0" w:color="auto"/>
              <w:right w:val="single" w:sz="4" w:space="0" w:color="auto"/>
            </w:tcBorders>
            <w:shd w:val="clear" w:color="000000" w:fill="FFFFFF"/>
            <w:noWrap/>
            <w:vAlign w:val="bottom"/>
            <w:hideMark/>
          </w:tcPr>
          <w:p w14:paraId="59EF67C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66.5</w:t>
            </w:r>
          </w:p>
        </w:tc>
        <w:tc>
          <w:tcPr>
            <w:tcW w:w="892" w:type="dxa"/>
            <w:tcBorders>
              <w:top w:val="nil"/>
              <w:left w:val="nil"/>
              <w:bottom w:val="single" w:sz="4" w:space="0" w:color="auto"/>
              <w:right w:val="single" w:sz="4" w:space="0" w:color="auto"/>
            </w:tcBorders>
            <w:shd w:val="clear" w:color="000000" w:fill="FFFFFF"/>
            <w:noWrap/>
            <w:vAlign w:val="bottom"/>
            <w:hideMark/>
          </w:tcPr>
          <w:p w14:paraId="506DB5F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69</w:t>
            </w:r>
          </w:p>
        </w:tc>
        <w:tc>
          <w:tcPr>
            <w:tcW w:w="856" w:type="dxa"/>
            <w:tcBorders>
              <w:top w:val="nil"/>
              <w:left w:val="nil"/>
              <w:bottom w:val="single" w:sz="4" w:space="0" w:color="auto"/>
              <w:right w:val="single" w:sz="4" w:space="0" w:color="auto"/>
            </w:tcBorders>
            <w:shd w:val="clear" w:color="000000" w:fill="FFFFFF"/>
            <w:noWrap/>
            <w:vAlign w:val="bottom"/>
            <w:hideMark/>
          </w:tcPr>
          <w:p w14:paraId="1BEB32D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-1.40%</w:t>
            </w:r>
          </w:p>
        </w:tc>
        <w:tc>
          <w:tcPr>
            <w:tcW w:w="856" w:type="dxa"/>
            <w:tcBorders>
              <w:top w:val="nil"/>
              <w:left w:val="nil"/>
              <w:bottom w:val="single" w:sz="4" w:space="0" w:color="auto"/>
              <w:right w:val="single" w:sz="4" w:space="0" w:color="auto"/>
            </w:tcBorders>
            <w:shd w:val="clear" w:color="000000" w:fill="FFFFFF"/>
            <w:noWrap/>
            <w:vAlign w:val="bottom"/>
            <w:hideMark/>
          </w:tcPr>
          <w:p w14:paraId="290AB8C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2.08%</w:t>
            </w:r>
          </w:p>
        </w:tc>
        <w:tc>
          <w:tcPr>
            <w:tcW w:w="856" w:type="dxa"/>
            <w:tcBorders>
              <w:top w:val="nil"/>
              <w:left w:val="nil"/>
              <w:bottom w:val="single" w:sz="4" w:space="0" w:color="auto"/>
              <w:right w:val="single" w:sz="4" w:space="0" w:color="auto"/>
            </w:tcBorders>
            <w:shd w:val="clear" w:color="000000" w:fill="FFFFFF"/>
            <w:noWrap/>
            <w:vAlign w:val="bottom"/>
            <w:hideMark/>
          </w:tcPr>
          <w:p w14:paraId="1B5F6D2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0.28%</w:t>
            </w:r>
          </w:p>
        </w:tc>
        <w:tc>
          <w:tcPr>
            <w:tcW w:w="1274" w:type="dxa"/>
            <w:tcBorders>
              <w:top w:val="nil"/>
              <w:left w:val="nil"/>
              <w:bottom w:val="single" w:sz="4" w:space="0" w:color="auto"/>
              <w:right w:val="single" w:sz="4" w:space="0" w:color="auto"/>
            </w:tcBorders>
            <w:shd w:val="clear" w:color="000000" w:fill="FFFFFF"/>
            <w:noWrap/>
            <w:vAlign w:val="bottom"/>
            <w:hideMark/>
          </w:tcPr>
          <w:p w14:paraId="36EA65B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88.9</w:t>
            </w:r>
          </w:p>
        </w:tc>
      </w:tr>
      <w:tr w:rsidR="00B97B6A" w:rsidRPr="00F96EBF" w14:paraId="0771A64E"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09C7320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Basque Country</w:t>
            </w:r>
          </w:p>
        </w:tc>
        <w:tc>
          <w:tcPr>
            <w:tcW w:w="847" w:type="dxa"/>
            <w:tcBorders>
              <w:top w:val="nil"/>
              <w:left w:val="nil"/>
              <w:bottom w:val="single" w:sz="4" w:space="0" w:color="auto"/>
              <w:right w:val="single" w:sz="4" w:space="0" w:color="auto"/>
            </w:tcBorders>
            <w:shd w:val="clear" w:color="000000" w:fill="FFFFFF"/>
            <w:noWrap/>
            <w:vAlign w:val="bottom"/>
            <w:hideMark/>
          </w:tcPr>
          <w:p w14:paraId="39D6962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82.6</w:t>
            </w:r>
          </w:p>
        </w:tc>
        <w:tc>
          <w:tcPr>
            <w:tcW w:w="892" w:type="dxa"/>
            <w:tcBorders>
              <w:top w:val="nil"/>
              <w:left w:val="nil"/>
              <w:bottom w:val="single" w:sz="4" w:space="0" w:color="auto"/>
              <w:right w:val="single" w:sz="4" w:space="0" w:color="auto"/>
            </w:tcBorders>
            <w:shd w:val="clear" w:color="000000" w:fill="FFFFFF"/>
            <w:noWrap/>
            <w:vAlign w:val="bottom"/>
            <w:hideMark/>
          </w:tcPr>
          <w:p w14:paraId="784C043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84.7</w:t>
            </w:r>
          </w:p>
        </w:tc>
        <w:tc>
          <w:tcPr>
            <w:tcW w:w="856" w:type="dxa"/>
            <w:tcBorders>
              <w:top w:val="nil"/>
              <w:left w:val="nil"/>
              <w:bottom w:val="single" w:sz="4" w:space="0" w:color="auto"/>
              <w:right w:val="single" w:sz="4" w:space="0" w:color="auto"/>
            </w:tcBorders>
            <w:shd w:val="clear" w:color="000000" w:fill="FFFFFF"/>
            <w:noWrap/>
            <w:vAlign w:val="bottom"/>
            <w:hideMark/>
          </w:tcPr>
          <w:p w14:paraId="174A202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0.36%</w:t>
            </w:r>
          </w:p>
        </w:tc>
        <w:tc>
          <w:tcPr>
            <w:tcW w:w="856" w:type="dxa"/>
            <w:tcBorders>
              <w:top w:val="nil"/>
              <w:left w:val="nil"/>
              <w:bottom w:val="single" w:sz="4" w:space="0" w:color="auto"/>
              <w:right w:val="single" w:sz="4" w:space="0" w:color="auto"/>
            </w:tcBorders>
            <w:shd w:val="clear" w:color="000000" w:fill="FFFFFF"/>
            <w:noWrap/>
            <w:vAlign w:val="bottom"/>
            <w:hideMark/>
          </w:tcPr>
          <w:p w14:paraId="11C022F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-0.60%</w:t>
            </w:r>
          </w:p>
        </w:tc>
        <w:tc>
          <w:tcPr>
            <w:tcW w:w="856" w:type="dxa"/>
            <w:tcBorders>
              <w:top w:val="nil"/>
              <w:left w:val="nil"/>
              <w:bottom w:val="single" w:sz="4" w:space="0" w:color="auto"/>
              <w:right w:val="single" w:sz="4" w:space="0" w:color="auto"/>
            </w:tcBorders>
            <w:shd w:val="clear" w:color="000000" w:fill="FFFFFF"/>
            <w:noWrap/>
            <w:vAlign w:val="bottom"/>
            <w:hideMark/>
          </w:tcPr>
          <w:p w14:paraId="1309B99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0.19%</w:t>
            </w:r>
          </w:p>
        </w:tc>
        <w:tc>
          <w:tcPr>
            <w:tcW w:w="1274" w:type="dxa"/>
            <w:tcBorders>
              <w:top w:val="nil"/>
              <w:left w:val="nil"/>
              <w:bottom w:val="single" w:sz="4" w:space="0" w:color="auto"/>
              <w:right w:val="single" w:sz="4" w:space="0" w:color="auto"/>
            </w:tcBorders>
            <w:shd w:val="clear" w:color="000000" w:fill="FFFFFF"/>
            <w:noWrap/>
            <w:vAlign w:val="bottom"/>
            <w:hideMark/>
          </w:tcPr>
          <w:p w14:paraId="7722A71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109.1</w:t>
            </w:r>
          </w:p>
        </w:tc>
      </w:tr>
      <w:tr w:rsidR="00B97B6A" w:rsidRPr="00F96EBF" w14:paraId="53183865"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2E05BC9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Canary Islands</w:t>
            </w:r>
          </w:p>
        </w:tc>
        <w:tc>
          <w:tcPr>
            <w:tcW w:w="847" w:type="dxa"/>
            <w:tcBorders>
              <w:top w:val="nil"/>
              <w:left w:val="nil"/>
              <w:bottom w:val="single" w:sz="4" w:space="0" w:color="auto"/>
              <w:right w:val="single" w:sz="4" w:space="0" w:color="auto"/>
            </w:tcBorders>
            <w:shd w:val="clear" w:color="000000" w:fill="FFFFFF"/>
            <w:noWrap/>
            <w:vAlign w:val="bottom"/>
            <w:hideMark/>
          </w:tcPr>
          <w:p w14:paraId="2D21379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64.7</w:t>
            </w:r>
          </w:p>
        </w:tc>
        <w:tc>
          <w:tcPr>
            <w:tcW w:w="892" w:type="dxa"/>
            <w:tcBorders>
              <w:top w:val="nil"/>
              <w:left w:val="nil"/>
              <w:bottom w:val="single" w:sz="4" w:space="0" w:color="auto"/>
              <w:right w:val="single" w:sz="4" w:space="0" w:color="auto"/>
            </w:tcBorders>
            <w:shd w:val="clear" w:color="000000" w:fill="FFFFFF"/>
            <w:noWrap/>
            <w:vAlign w:val="bottom"/>
            <w:hideMark/>
          </w:tcPr>
          <w:p w14:paraId="6E5F497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76.7</w:t>
            </w:r>
          </w:p>
        </w:tc>
        <w:tc>
          <w:tcPr>
            <w:tcW w:w="856" w:type="dxa"/>
            <w:tcBorders>
              <w:top w:val="nil"/>
              <w:left w:val="nil"/>
              <w:bottom w:val="single" w:sz="4" w:space="0" w:color="auto"/>
              <w:right w:val="single" w:sz="4" w:space="0" w:color="auto"/>
            </w:tcBorders>
            <w:shd w:val="clear" w:color="000000" w:fill="FFFFFF"/>
            <w:noWrap/>
            <w:vAlign w:val="bottom"/>
            <w:hideMark/>
          </w:tcPr>
          <w:p w14:paraId="589151D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1.47%</w:t>
            </w:r>
          </w:p>
        </w:tc>
        <w:tc>
          <w:tcPr>
            <w:tcW w:w="856" w:type="dxa"/>
            <w:tcBorders>
              <w:top w:val="nil"/>
              <w:left w:val="nil"/>
              <w:bottom w:val="single" w:sz="4" w:space="0" w:color="auto"/>
              <w:right w:val="single" w:sz="4" w:space="0" w:color="auto"/>
            </w:tcBorders>
            <w:shd w:val="clear" w:color="000000" w:fill="FFFFFF"/>
            <w:noWrap/>
            <w:vAlign w:val="bottom"/>
            <w:hideMark/>
          </w:tcPr>
          <w:p w14:paraId="59FE4EA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0.66%</w:t>
            </w:r>
          </w:p>
        </w:tc>
        <w:tc>
          <w:tcPr>
            <w:tcW w:w="856" w:type="dxa"/>
            <w:tcBorders>
              <w:top w:val="nil"/>
              <w:left w:val="nil"/>
              <w:bottom w:val="single" w:sz="4" w:space="0" w:color="auto"/>
              <w:right w:val="single" w:sz="4" w:space="0" w:color="auto"/>
            </w:tcBorders>
            <w:shd w:val="clear" w:color="000000" w:fill="FFFFFF"/>
            <w:noWrap/>
            <w:vAlign w:val="bottom"/>
            <w:hideMark/>
          </w:tcPr>
          <w:p w14:paraId="0C1BF51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1.32%</w:t>
            </w:r>
          </w:p>
        </w:tc>
        <w:tc>
          <w:tcPr>
            <w:tcW w:w="1274" w:type="dxa"/>
            <w:tcBorders>
              <w:top w:val="nil"/>
              <w:left w:val="nil"/>
              <w:bottom w:val="single" w:sz="4" w:space="0" w:color="auto"/>
              <w:right w:val="single" w:sz="4" w:space="0" w:color="auto"/>
            </w:tcBorders>
            <w:shd w:val="clear" w:color="000000" w:fill="FFFFFF"/>
            <w:noWrap/>
            <w:vAlign w:val="bottom"/>
            <w:hideMark/>
          </w:tcPr>
          <w:p w14:paraId="27967BC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98.8</w:t>
            </w:r>
          </w:p>
        </w:tc>
      </w:tr>
      <w:tr w:rsidR="00B97B6A" w:rsidRPr="00F96EBF" w14:paraId="274EEFD6"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63385B1F"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Cantabria</w:t>
            </w:r>
          </w:p>
        </w:tc>
        <w:tc>
          <w:tcPr>
            <w:tcW w:w="847" w:type="dxa"/>
            <w:tcBorders>
              <w:top w:val="nil"/>
              <w:left w:val="nil"/>
              <w:bottom w:val="single" w:sz="4" w:space="0" w:color="auto"/>
              <w:right w:val="single" w:sz="4" w:space="0" w:color="auto"/>
            </w:tcBorders>
            <w:shd w:val="clear" w:color="000000" w:fill="FFFFFF"/>
            <w:noWrap/>
            <w:vAlign w:val="bottom"/>
            <w:hideMark/>
          </w:tcPr>
          <w:p w14:paraId="040CABB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76.7</w:t>
            </w:r>
          </w:p>
        </w:tc>
        <w:tc>
          <w:tcPr>
            <w:tcW w:w="892" w:type="dxa"/>
            <w:tcBorders>
              <w:top w:val="nil"/>
              <w:left w:val="nil"/>
              <w:bottom w:val="single" w:sz="4" w:space="0" w:color="auto"/>
              <w:right w:val="single" w:sz="4" w:space="0" w:color="auto"/>
            </w:tcBorders>
            <w:shd w:val="clear" w:color="000000" w:fill="FFFFFF"/>
            <w:noWrap/>
            <w:vAlign w:val="bottom"/>
            <w:hideMark/>
          </w:tcPr>
          <w:p w14:paraId="7523BA0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82.1</w:t>
            </w:r>
          </w:p>
        </w:tc>
        <w:tc>
          <w:tcPr>
            <w:tcW w:w="856" w:type="dxa"/>
            <w:tcBorders>
              <w:top w:val="nil"/>
              <w:left w:val="nil"/>
              <w:bottom w:val="single" w:sz="4" w:space="0" w:color="auto"/>
              <w:right w:val="single" w:sz="4" w:space="0" w:color="auto"/>
            </w:tcBorders>
            <w:shd w:val="clear" w:color="000000" w:fill="FFFFFF"/>
            <w:noWrap/>
            <w:vAlign w:val="bottom"/>
            <w:hideMark/>
          </w:tcPr>
          <w:p w14:paraId="76A4B41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0.28%</w:t>
            </w:r>
          </w:p>
        </w:tc>
        <w:tc>
          <w:tcPr>
            <w:tcW w:w="856" w:type="dxa"/>
            <w:tcBorders>
              <w:top w:val="nil"/>
              <w:left w:val="nil"/>
              <w:bottom w:val="single" w:sz="4" w:space="0" w:color="auto"/>
              <w:right w:val="single" w:sz="4" w:space="0" w:color="auto"/>
            </w:tcBorders>
            <w:shd w:val="clear" w:color="000000" w:fill="FFFFFF"/>
            <w:noWrap/>
            <w:vAlign w:val="bottom"/>
            <w:hideMark/>
          </w:tcPr>
          <w:p w14:paraId="279E123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-0.87%</w:t>
            </w:r>
          </w:p>
        </w:tc>
        <w:tc>
          <w:tcPr>
            <w:tcW w:w="856" w:type="dxa"/>
            <w:tcBorders>
              <w:top w:val="nil"/>
              <w:left w:val="nil"/>
              <w:bottom w:val="single" w:sz="4" w:space="0" w:color="auto"/>
              <w:right w:val="single" w:sz="4" w:space="0" w:color="auto"/>
            </w:tcBorders>
            <w:shd w:val="clear" w:color="000000" w:fill="FFFFFF"/>
            <w:noWrap/>
            <w:vAlign w:val="bottom"/>
            <w:hideMark/>
          </w:tcPr>
          <w:p w14:paraId="762D16C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0.52%</w:t>
            </w:r>
          </w:p>
        </w:tc>
        <w:tc>
          <w:tcPr>
            <w:tcW w:w="1274" w:type="dxa"/>
            <w:tcBorders>
              <w:top w:val="nil"/>
              <w:left w:val="nil"/>
              <w:bottom w:val="single" w:sz="4" w:space="0" w:color="auto"/>
              <w:right w:val="single" w:sz="4" w:space="0" w:color="auto"/>
            </w:tcBorders>
            <w:shd w:val="clear" w:color="000000" w:fill="FFFFFF"/>
            <w:noWrap/>
            <w:vAlign w:val="bottom"/>
            <w:hideMark/>
          </w:tcPr>
          <w:p w14:paraId="3ACEB6F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105.7</w:t>
            </w:r>
          </w:p>
        </w:tc>
      </w:tr>
      <w:tr w:rsidR="00B97B6A" w:rsidRPr="00F96EBF" w14:paraId="5519802A"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1A53BC1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 and Leon</w:t>
            </w:r>
          </w:p>
        </w:tc>
        <w:tc>
          <w:tcPr>
            <w:tcW w:w="847" w:type="dxa"/>
            <w:tcBorders>
              <w:top w:val="nil"/>
              <w:left w:val="nil"/>
              <w:bottom w:val="single" w:sz="4" w:space="0" w:color="auto"/>
              <w:right w:val="single" w:sz="4" w:space="0" w:color="auto"/>
            </w:tcBorders>
            <w:shd w:val="clear" w:color="000000" w:fill="FFFFFF"/>
            <w:noWrap/>
            <w:vAlign w:val="bottom"/>
            <w:hideMark/>
          </w:tcPr>
          <w:p w14:paraId="1964501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77.6</w:t>
            </w:r>
          </w:p>
        </w:tc>
        <w:tc>
          <w:tcPr>
            <w:tcW w:w="892" w:type="dxa"/>
            <w:tcBorders>
              <w:top w:val="nil"/>
              <w:left w:val="nil"/>
              <w:bottom w:val="single" w:sz="4" w:space="0" w:color="auto"/>
              <w:right w:val="single" w:sz="4" w:space="0" w:color="auto"/>
            </w:tcBorders>
            <w:shd w:val="clear" w:color="000000" w:fill="FFFFFF"/>
            <w:noWrap/>
            <w:vAlign w:val="bottom"/>
            <w:hideMark/>
          </w:tcPr>
          <w:p w14:paraId="38608A7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80.5</w:t>
            </w:r>
          </w:p>
        </w:tc>
        <w:tc>
          <w:tcPr>
            <w:tcW w:w="856" w:type="dxa"/>
            <w:tcBorders>
              <w:top w:val="nil"/>
              <w:left w:val="nil"/>
              <w:bottom w:val="single" w:sz="4" w:space="0" w:color="auto"/>
              <w:right w:val="single" w:sz="4" w:space="0" w:color="auto"/>
            </w:tcBorders>
            <w:shd w:val="clear" w:color="000000" w:fill="FFFFFF"/>
            <w:noWrap/>
            <w:vAlign w:val="bottom"/>
            <w:hideMark/>
          </w:tcPr>
          <w:p w14:paraId="6AAD05D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-0.74%</w:t>
            </w:r>
          </w:p>
        </w:tc>
        <w:tc>
          <w:tcPr>
            <w:tcW w:w="856" w:type="dxa"/>
            <w:tcBorders>
              <w:top w:val="nil"/>
              <w:left w:val="nil"/>
              <w:bottom w:val="single" w:sz="4" w:space="0" w:color="auto"/>
              <w:right w:val="single" w:sz="4" w:space="0" w:color="auto"/>
            </w:tcBorders>
            <w:shd w:val="clear" w:color="000000" w:fill="FFFFFF"/>
            <w:noWrap/>
            <w:vAlign w:val="bottom"/>
            <w:hideMark/>
          </w:tcPr>
          <w:p w14:paraId="0AC5162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0.02%</w:t>
            </w:r>
          </w:p>
        </w:tc>
        <w:tc>
          <w:tcPr>
            <w:tcW w:w="856" w:type="dxa"/>
            <w:tcBorders>
              <w:top w:val="nil"/>
              <w:left w:val="nil"/>
              <w:bottom w:val="single" w:sz="4" w:space="0" w:color="auto"/>
              <w:right w:val="single" w:sz="4" w:space="0" w:color="auto"/>
            </w:tcBorders>
            <w:shd w:val="clear" w:color="000000" w:fill="FFFFFF"/>
            <w:noWrap/>
            <w:vAlign w:val="bottom"/>
            <w:hideMark/>
          </w:tcPr>
          <w:p w14:paraId="45F0310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0.28%</w:t>
            </w:r>
          </w:p>
        </w:tc>
        <w:tc>
          <w:tcPr>
            <w:tcW w:w="1274" w:type="dxa"/>
            <w:tcBorders>
              <w:top w:val="nil"/>
              <w:left w:val="nil"/>
              <w:bottom w:val="single" w:sz="4" w:space="0" w:color="auto"/>
              <w:right w:val="single" w:sz="4" w:space="0" w:color="auto"/>
            </w:tcBorders>
            <w:shd w:val="clear" w:color="000000" w:fill="FFFFFF"/>
            <w:noWrap/>
            <w:vAlign w:val="bottom"/>
            <w:hideMark/>
          </w:tcPr>
          <w:p w14:paraId="2A95EFB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103.7</w:t>
            </w:r>
          </w:p>
        </w:tc>
      </w:tr>
      <w:tr w:rsidR="00B97B6A" w:rsidRPr="00F96EBF" w14:paraId="2E99163C"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4E56B8C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Castile-La Mancha</w:t>
            </w:r>
          </w:p>
        </w:tc>
        <w:tc>
          <w:tcPr>
            <w:tcW w:w="847" w:type="dxa"/>
            <w:tcBorders>
              <w:top w:val="nil"/>
              <w:left w:val="nil"/>
              <w:bottom w:val="single" w:sz="4" w:space="0" w:color="auto"/>
              <w:right w:val="single" w:sz="4" w:space="0" w:color="auto"/>
            </w:tcBorders>
            <w:shd w:val="clear" w:color="000000" w:fill="FFFFFF"/>
            <w:noWrap/>
            <w:vAlign w:val="bottom"/>
            <w:hideMark/>
          </w:tcPr>
          <w:p w14:paraId="6FFC7FB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64.8</w:t>
            </w:r>
          </w:p>
        </w:tc>
        <w:tc>
          <w:tcPr>
            <w:tcW w:w="892" w:type="dxa"/>
            <w:tcBorders>
              <w:top w:val="nil"/>
              <w:left w:val="nil"/>
              <w:bottom w:val="single" w:sz="4" w:space="0" w:color="auto"/>
              <w:right w:val="single" w:sz="4" w:space="0" w:color="auto"/>
            </w:tcBorders>
            <w:shd w:val="clear" w:color="000000" w:fill="FFFFFF"/>
            <w:noWrap/>
            <w:vAlign w:val="bottom"/>
            <w:hideMark/>
          </w:tcPr>
          <w:p w14:paraId="44BD6BB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72.7</w:t>
            </w:r>
          </w:p>
        </w:tc>
        <w:tc>
          <w:tcPr>
            <w:tcW w:w="856" w:type="dxa"/>
            <w:tcBorders>
              <w:top w:val="nil"/>
              <w:left w:val="nil"/>
              <w:bottom w:val="single" w:sz="4" w:space="0" w:color="auto"/>
              <w:right w:val="single" w:sz="4" w:space="0" w:color="auto"/>
            </w:tcBorders>
            <w:shd w:val="clear" w:color="000000" w:fill="FFFFFF"/>
            <w:noWrap/>
            <w:vAlign w:val="bottom"/>
            <w:hideMark/>
          </w:tcPr>
          <w:p w14:paraId="31DB626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-0.15%</w:t>
            </w:r>
          </w:p>
        </w:tc>
        <w:tc>
          <w:tcPr>
            <w:tcW w:w="856" w:type="dxa"/>
            <w:tcBorders>
              <w:top w:val="nil"/>
              <w:left w:val="nil"/>
              <w:bottom w:val="single" w:sz="4" w:space="0" w:color="auto"/>
              <w:right w:val="single" w:sz="4" w:space="0" w:color="auto"/>
            </w:tcBorders>
            <w:shd w:val="clear" w:color="000000" w:fill="FFFFFF"/>
            <w:noWrap/>
            <w:vAlign w:val="bottom"/>
            <w:hideMark/>
          </w:tcPr>
          <w:p w14:paraId="485B692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0.93%</w:t>
            </w:r>
          </w:p>
        </w:tc>
        <w:tc>
          <w:tcPr>
            <w:tcW w:w="856" w:type="dxa"/>
            <w:tcBorders>
              <w:top w:val="nil"/>
              <w:left w:val="nil"/>
              <w:bottom w:val="single" w:sz="4" w:space="0" w:color="auto"/>
              <w:right w:val="single" w:sz="4" w:space="0" w:color="auto"/>
            </w:tcBorders>
            <w:shd w:val="clear" w:color="000000" w:fill="FFFFFF"/>
            <w:noWrap/>
            <w:vAlign w:val="bottom"/>
            <w:hideMark/>
          </w:tcPr>
          <w:p w14:paraId="75DDE58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0.89%</w:t>
            </w:r>
          </w:p>
        </w:tc>
        <w:tc>
          <w:tcPr>
            <w:tcW w:w="1274" w:type="dxa"/>
            <w:tcBorders>
              <w:top w:val="nil"/>
              <w:left w:val="nil"/>
              <w:bottom w:val="single" w:sz="4" w:space="0" w:color="auto"/>
              <w:right w:val="single" w:sz="4" w:space="0" w:color="auto"/>
            </w:tcBorders>
            <w:shd w:val="clear" w:color="000000" w:fill="FFFFFF"/>
            <w:noWrap/>
            <w:vAlign w:val="bottom"/>
            <w:hideMark/>
          </w:tcPr>
          <w:p w14:paraId="5CBBE04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93.7</w:t>
            </w:r>
          </w:p>
        </w:tc>
      </w:tr>
      <w:tr w:rsidR="00B97B6A" w:rsidRPr="00F96EBF" w14:paraId="705DA7A1"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41F6C5F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Catalonia</w:t>
            </w:r>
          </w:p>
        </w:tc>
        <w:tc>
          <w:tcPr>
            <w:tcW w:w="847" w:type="dxa"/>
            <w:tcBorders>
              <w:top w:val="nil"/>
              <w:left w:val="nil"/>
              <w:bottom w:val="single" w:sz="4" w:space="0" w:color="auto"/>
              <w:right w:val="single" w:sz="4" w:space="0" w:color="auto"/>
            </w:tcBorders>
            <w:shd w:val="clear" w:color="000000" w:fill="FFFFFF"/>
            <w:noWrap/>
            <w:vAlign w:val="bottom"/>
            <w:hideMark/>
          </w:tcPr>
          <w:p w14:paraId="3315DAE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75.5</w:t>
            </w:r>
          </w:p>
        </w:tc>
        <w:tc>
          <w:tcPr>
            <w:tcW w:w="892" w:type="dxa"/>
            <w:tcBorders>
              <w:top w:val="nil"/>
              <w:left w:val="nil"/>
              <w:bottom w:val="single" w:sz="4" w:space="0" w:color="auto"/>
              <w:right w:val="single" w:sz="4" w:space="0" w:color="auto"/>
            </w:tcBorders>
            <w:shd w:val="clear" w:color="000000" w:fill="FFFFFF"/>
            <w:noWrap/>
            <w:vAlign w:val="bottom"/>
            <w:hideMark/>
          </w:tcPr>
          <w:p w14:paraId="687C2DB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82.9</w:t>
            </w:r>
          </w:p>
        </w:tc>
        <w:tc>
          <w:tcPr>
            <w:tcW w:w="856" w:type="dxa"/>
            <w:tcBorders>
              <w:top w:val="nil"/>
              <w:left w:val="nil"/>
              <w:bottom w:val="single" w:sz="4" w:space="0" w:color="auto"/>
              <w:right w:val="single" w:sz="4" w:space="0" w:color="auto"/>
            </w:tcBorders>
            <w:shd w:val="clear" w:color="000000" w:fill="FFFFFF"/>
            <w:noWrap/>
            <w:vAlign w:val="bottom"/>
            <w:hideMark/>
          </w:tcPr>
          <w:p w14:paraId="7EF2456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-0.16%</w:t>
            </w:r>
          </w:p>
        </w:tc>
        <w:tc>
          <w:tcPr>
            <w:tcW w:w="856" w:type="dxa"/>
            <w:tcBorders>
              <w:top w:val="nil"/>
              <w:left w:val="nil"/>
              <w:bottom w:val="single" w:sz="4" w:space="0" w:color="auto"/>
              <w:right w:val="single" w:sz="4" w:space="0" w:color="auto"/>
            </w:tcBorders>
            <w:shd w:val="clear" w:color="000000" w:fill="FFFFFF"/>
            <w:noWrap/>
            <w:vAlign w:val="bottom"/>
            <w:hideMark/>
          </w:tcPr>
          <w:p w14:paraId="2F5D79A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1.20%</w:t>
            </w:r>
          </w:p>
        </w:tc>
        <w:tc>
          <w:tcPr>
            <w:tcW w:w="856" w:type="dxa"/>
            <w:tcBorders>
              <w:top w:val="nil"/>
              <w:left w:val="nil"/>
              <w:bottom w:val="single" w:sz="4" w:space="0" w:color="auto"/>
              <w:right w:val="single" w:sz="4" w:space="0" w:color="auto"/>
            </w:tcBorders>
            <w:shd w:val="clear" w:color="000000" w:fill="FFFFFF"/>
            <w:noWrap/>
            <w:vAlign w:val="bottom"/>
            <w:hideMark/>
          </w:tcPr>
          <w:p w14:paraId="3010D19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0.72%</w:t>
            </w:r>
          </w:p>
        </w:tc>
        <w:tc>
          <w:tcPr>
            <w:tcW w:w="1274" w:type="dxa"/>
            <w:tcBorders>
              <w:top w:val="nil"/>
              <w:left w:val="nil"/>
              <w:bottom w:val="single" w:sz="4" w:space="0" w:color="auto"/>
              <w:right w:val="single" w:sz="4" w:space="0" w:color="auto"/>
            </w:tcBorders>
            <w:shd w:val="clear" w:color="000000" w:fill="FFFFFF"/>
            <w:noWrap/>
            <w:vAlign w:val="bottom"/>
            <w:hideMark/>
          </w:tcPr>
          <w:p w14:paraId="104634A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106.8</w:t>
            </w:r>
          </w:p>
        </w:tc>
      </w:tr>
      <w:tr w:rsidR="00B97B6A" w:rsidRPr="00F96EBF" w14:paraId="5838DD93"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53F4AC98"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Extremadura</w:t>
            </w:r>
          </w:p>
        </w:tc>
        <w:tc>
          <w:tcPr>
            <w:tcW w:w="847" w:type="dxa"/>
            <w:tcBorders>
              <w:top w:val="nil"/>
              <w:left w:val="nil"/>
              <w:bottom w:val="single" w:sz="4" w:space="0" w:color="auto"/>
              <w:right w:val="single" w:sz="4" w:space="0" w:color="auto"/>
            </w:tcBorders>
            <w:shd w:val="clear" w:color="000000" w:fill="FFFFFF"/>
            <w:noWrap/>
            <w:vAlign w:val="bottom"/>
            <w:hideMark/>
          </w:tcPr>
          <w:p w14:paraId="6C8E2CA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63.8</w:t>
            </w:r>
          </w:p>
        </w:tc>
        <w:tc>
          <w:tcPr>
            <w:tcW w:w="892" w:type="dxa"/>
            <w:tcBorders>
              <w:top w:val="nil"/>
              <w:left w:val="nil"/>
              <w:bottom w:val="single" w:sz="4" w:space="0" w:color="auto"/>
              <w:right w:val="single" w:sz="4" w:space="0" w:color="auto"/>
            </w:tcBorders>
            <w:shd w:val="clear" w:color="000000" w:fill="FFFFFF"/>
            <w:noWrap/>
            <w:vAlign w:val="bottom"/>
            <w:hideMark/>
          </w:tcPr>
          <w:p w14:paraId="25537F3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77.9</w:t>
            </w:r>
          </w:p>
        </w:tc>
        <w:tc>
          <w:tcPr>
            <w:tcW w:w="856" w:type="dxa"/>
            <w:tcBorders>
              <w:top w:val="nil"/>
              <w:left w:val="nil"/>
              <w:bottom w:val="single" w:sz="4" w:space="0" w:color="auto"/>
              <w:right w:val="single" w:sz="4" w:space="0" w:color="auto"/>
            </w:tcBorders>
            <w:shd w:val="clear" w:color="000000" w:fill="FFFFFF"/>
            <w:noWrap/>
            <w:vAlign w:val="bottom"/>
            <w:hideMark/>
          </w:tcPr>
          <w:p w14:paraId="0F447A1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1.19%</w:t>
            </w:r>
          </w:p>
        </w:tc>
        <w:tc>
          <w:tcPr>
            <w:tcW w:w="856" w:type="dxa"/>
            <w:tcBorders>
              <w:top w:val="nil"/>
              <w:left w:val="nil"/>
              <w:bottom w:val="single" w:sz="4" w:space="0" w:color="auto"/>
              <w:right w:val="single" w:sz="4" w:space="0" w:color="auto"/>
            </w:tcBorders>
            <w:shd w:val="clear" w:color="000000" w:fill="FFFFFF"/>
            <w:noWrap/>
            <w:vAlign w:val="bottom"/>
            <w:hideMark/>
          </w:tcPr>
          <w:p w14:paraId="510B6EC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0.35%</w:t>
            </w:r>
          </w:p>
        </w:tc>
        <w:tc>
          <w:tcPr>
            <w:tcW w:w="856" w:type="dxa"/>
            <w:tcBorders>
              <w:top w:val="nil"/>
              <w:left w:val="nil"/>
              <w:bottom w:val="single" w:sz="4" w:space="0" w:color="auto"/>
              <w:right w:val="single" w:sz="4" w:space="0" w:color="auto"/>
            </w:tcBorders>
            <w:shd w:val="clear" w:color="000000" w:fill="FFFFFF"/>
            <w:noWrap/>
            <w:vAlign w:val="bottom"/>
            <w:hideMark/>
          </w:tcPr>
          <w:p w14:paraId="3EA6E17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1.55%</w:t>
            </w:r>
          </w:p>
        </w:tc>
        <w:tc>
          <w:tcPr>
            <w:tcW w:w="1274" w:type="dxa"/>
            <w:tcBorders>
              <w:top w:val="nil"/>
              <w:left w:val="nil"/>
              <w:bottom w:val="single" w:sz="4" w:space="0" w:color="auto"/>
              <w:right w:val="single" w:sz="4" w:space="0" w:color="auto"/>
            </w:tcBorders>
            <w:shd w:val="clear" w:color="000000" w:fill="FFFFFF"/>
            <w:noWrap/>
            <w:vAlign w:val="bottom"/>
            <w:hideMark/>
          </w:tcPr>
          <w:p w14:paraId="2324DCD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100.4</w:t>
            </w:r>
          </w:p>
        </w:tc>
      </w:tr>
      <w:tr w:rsidR="00B97B6A" w:rsidRPr="00F96EBF" w14:paraId="7A84E0F4"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1899367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Galicia</w:t>
            </w:r>
          </w:p>
        </w:tc>
        <w:tc>
          <w:tcPr>
            <w:tcW w:w="847" w:type="dxa"/>
            <w:tcBorders>
              <w:top w:val="nil"/>
              <w:left w:val="nil"/>
              <w:bottom w:val="single" w:sz="4" w:space="0" w:color="auto"/>
              <w:right w:val="single" w:sz="4" w:space="0" w:color="auto"/>
            </w:tcBorders>
            <w:shd w:val="clear" w:color="000000" w:fill="FFFFFF"/>
            <w:noWrap/>
            <w:vAlign w:val="bottom"/>
            <w:hideMark/>
          </w:tcPr>
          <w:p w14:paraId="48CAE91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75.3</w:t>
            </w:r>
          </w:p>
        </w:tc>
        <w:tc>
          <w:tcPr>
            <w:tcW w:w="892" w:type="dxa"/>
            <w:tcBorders>
              <w:top w:val="nil"/>
              <w:left w:val="nil"/>
              <w:bottom w:val="single" w:sz="4" w:space="0" w:color="auto"/>
              <w:right w:val="single" w:sz="4" w:space="0" w:color="auto"/>
            </w:tcBorders>
            <w:shd w:val="clear" w:color="000000" w:fill="FFFFFF"/>
            <w:noWrap/>
            <w:vAlign w:val="bottom"/>
            <w:hideMark/>
          </w:tcPr>
          <w:p w14:paraId="2B5DE9B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80.8</w:t>
            </w:r>
          </w:p>
        </w:tc>
        <w:tc>
          <w:tcPr>
            <w:tcW w:w="856" w:type="dxa"/>
            <w:tcBorders>
              <w:top w:val="nil"/>
              <w:left w:val="nil"/>
              <w:bottom w:val="single" w:sz="4" w:space="0" w:color="auto"/>
              <w:right w:val="single" w:sz="4" w:space="0" w:color="auto"/>
            </w:tcBorders>
            <w:shd w:val="clear" w:color="000000" w:fill="FFFFFF"/>
            <w:noWrap/>
            <w:vAlign w:val="bottom"/>
            <w:hideMark/>
          </w:tcPr>
          <w:p w14:paraId="4CDC8FD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-0.31%</w:t>
            </w:r>
          </w:p>
        </w:tc>
        <w:tc>
          <w:tcPr>
            <w:tcW w:w="856" w:type="dxa"/>
            <w:tcBorders>
              <w:top w:val="nil"/>
              <w:left w:val="nil"/>
              <w:bottom w:val="single" w:sz="4" w:space="0" w:color="auto"/>
              <w:right w:val="single" w:sz="4" w:space="0" w:color="auto"/>
            </w:tcBorders>
            <w:shd w:val="clear" w:color="000000" w:fill="FFFFFF"/>
            <w:noWrap/>
            <w:vAlign w:val="bottom"/>
            <w:hideMark/>
          </w:tcPr>
          <w:p w14:paraId="4487DE7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0.54%</w:t>
            </w:r>
          </w:p>
        </w:tc>
        <w:tc>
          <w:tcPr>
            <w:tcW w:w="856" w:type="dxa"/>
            <w:tcBorders>
              <w:top w:val="nil"/>
              <w:left w:val="nil"/>
              <w:bottom w:val="single" w:sz="4" w:space="0" w:color="auto"/>
              <w:right w:val="single" w:sz="4" w:space="0" w:color="auto"/>
            </w:tcBorders>
            <w:shd w:val="clear" w:color="000000" w:fill="FFFFFF"/>
            <w:noWrap/>
            <w:vAlign w:val="bottom"/>
            <w:hideMark/>
          </w:tcPr>
          <w:p w14:paraId="2B6E322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0.54%</w:t>
            </w:r>
          </w:p>
        </w:tc>
        <w:tc>
          <w:tcPr>
            <w:tcW w:w="1274" w:type="dxa"/>
            <w:tcBorders>
              <w:top w:val="nil"/>
              <w:left w:val="nil"/>
              <w:bottom w:val="single" w:sz="4" w:space="0" w:color="auto"/>
              <w:right w:val="single" w:sz="4" w:space="0" w:color="auto"/>
            </w:tcBorders>
            <w:shd w:val="clear" w:color="000000" w:fill="FFFFFF"/>
            <w:noWrap/>
            <w:vAlign w:val="bottom"/>
            <w:hideMark/>
          </w:tcPr>
          <w:p w14:paraId="3D86E17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w:t>
            </w:r>
          </w:p>
        </w:tc>
      </w:tr>
      <w:tr w:rsidR="00B97B6A" w:rsidRPr="00F96EBF" w14:paraId="6305C0AA"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56B6F67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Madrid</w:t>
            </w:r>
          </w:p>
        </w:tc>
        <w:tc>
          <w:tcPr>
            <w:tcW w:w="847" w:type="dxa"/>
            <w:tcBorders>
              <w:top w:val="nil"/>
              <w:left w:val="nil"/>
              <w:bottom w:val="single" w:sz="4" w:space="0" w:color="auto"/>
              <w:right w:val="single" w:sz="4" w:space="0" w:color="auto"/>
            </w:tcBorders>
            <w:shd w:val="clear" w:color="000000" w:fill="FFFFFF"/>
            <w:noWrap/>
            <w:vAlign w:val="bottom"/>
            <w:hideMark/>
          </w:tcPr>
          <w:p w14:paraId="4419F69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74.6</w:t>
            </w:r>
          </w:p>
        </w:tc>
        <w:tc>
          <w:tcPr>
            <w:tcW w:w="892" w:type="dxa"/>
            <w:tcBorders>
              <w:top w:val="nil"/>
              <w:left w:val="nil"/>
              <w:bottom w:val="single" w:sz="4" w:space="0" w:color="auto"/>
              <w:right w:val="single" w:sz="4" w:space="0" w:color="auto"/>
            </w:tcBorders>
            <w:shd w:val="clear" w:color="000000" w:fill="FFFFFF"/>
            <w:noWrap/>
            <w:vAlign w:val="bottom"/>
            <w:hideMark/>
          </w:tcPr>
          <w:p w14:paraId="3315E40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80.4</w:t>
            </w:r>
          </w:p>
        </w:tc>
        <w:tc>
          <w:tcPr>
            <w:tcW w:w="856" w:type="dxa"/>
            <w:tcBorders>
              <w:top w:val="nil"/>
              <w:left w:val="nil"/>
              <w:bottom w:val="single" w:sz="4" w:space="0" w:color="auto"/>
              <w:right w:val="single" w:sz="4" w:space="0" w:color="auto"/>
            </w:tcBorders>
            <w:shd w:val="clear" w:color="000000" w:fill="FFFFFF"/>
            <w:noWrap/>
            <w:vAlign w:val="bottom"/>
            <w:hideMark/>
          </w:tcPr>
          <w:p w14:paraId="69D902C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-0.22%</w:t>
            </w:r>
          </w:p>
        </w:tc>
        <w:tc>
          <w:tcPr>
            <w:tcW w:w="856" w:type="dxa"/>
            <w:tcBorders>
              <w:top w:val="nil"/>
              <w:left w:val="nil"/>
              <w:bottom w:val="single" w:sz="4" w:space="0" w:color="auto"/>
              <w:right w:val="single" w:sz="4" w:space="0" w:color="auto"/>
            </w:tcBorders>
            <w:shd w:val="clear" w:color="000000" w:fill="FFFFFF"/>
            <w:noWrap/>
            <w:vAlign w:val="bottom"/>
            <w:hideMark/>
          </w:tcPr>
          <w:p w14:paraId="454D901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0.90%</w:t>
            </w:r>
          </w:p>
        </w:tc>
        <w:tc>
          <w:tcPr>
            <w:tcW w:w="856" w:type="dxa"/>
            <w:tcBorders>
              <w:top w:val="nil"/>
              <w:left w:val="nil"/>
              <w:bottom w:val="single" w:sz="4" w:space="0" w:color="auto"/>
              <w:right w:val="single" w:sz="4" w:space="0" w:color="auto"/>
            </w:tcBorders>
            <w:shd w:val="clear" w:color="000000" w:fill="FFFFFF"/>
            <w:noWrap/>
            <w:vAlign w:val="bottom"/>
            <w:hideMark/>
          </w:tcPr>
          <w:p w14:paraId="4B9ED5B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0.58%</w:t>
            </w:r>
          </w:p>
        </w:tc>
        <w:tc>
          <w:tcPr>
            <w:tcW w:w="1274" w:type="dxa"/>
            <w:tcBorders>
              <w:top w:val="nil"/>
              <w:left w:val="nil"/>
              <w:bottom w:val="single" w:sz="4" w:space="0" w:color="auto"/>
              <w:right w:val="single" w:sz="4" w:space="0" w:color="auto"/>
            </w:tcBorders>
            <w:shd w:val="clear" w:color="000000" w:fill="FFFFFF"/>
            <w:noWrap/>
            <w:vAlign w:val="bottom"/>
            <w:hideMark/>
          </w:tcPr>
          <w:p w14:paraId="2778DEB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103.6</w:t>
            </w:r>
          </w:p>
        </w:tc>
      </w:tr>
      <w:tr w:rsidR="00B97B6A" w:rsidRPr="00F96EBF" w14:paraId="6ED8DCF0"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6EBD28F3"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Murcia</w:t>
            </w:r>
          </w:p>
        </w:tc>
        <w:tc>
          <w:tcPr>
            <w:tcW w:w="847" w:type="dxa"/>
            <w:tcBorders>
              <w:top w:val="nil"/>
              <w:left w:val="nil"/>
              <w:bottom w:val="single" w:sz="4" w:space="0" w:color="auto"/>
              <w:right w:val="single" w:sz="4" w:space="0" w:color="auto"/>
            </w:tcBorders>
            <w:shd w:val="clear" w:color="000000" w:fill="FFFFFF"/>
            <w:noWrap/>
            <w:vAlign w:val="bottom"/>
            <w:hideMark/>
          </w:tcPr>
          <w:p w14:paraId="69D8E16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65.3</w:t>
            </w:r>
          </w:p>
        </w:tc>
        <w:tc>
          <w:tcPr>
            <w:tcW w:w="892" w:type="dxa"/>
            <w:tcBorders>
              <w:top w:val="nil"/>
              <w:left w:val="nil"/>
              <w:bottom w:val="single" w:sz="4" w:space="0" w:color="auto"/>
              <w:right w:val="single" w:sz="4" w:space="0" w:color="auto"/>
            </w:tcBorders>
            <w:shd w:val="clear" w:color="000000" w:fill="FFFFFF"/>
            <w:noWrap/>
            <w:vAlign w:val="bottom"/>
            <w:hideMark/>
          </w:tcPr>
          <w:p w14:paraId="404BC7E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77.3</w:t>
            </w:r>
          </w:p>
        </w:tc>
        <w:tc>
          <w:tcPr>
            <w:tcW w:w="856" w:type="dxa"/>
            <w:tcBorders>
              <w:top w:val="nil"/>
              <w:left w:val="nil"/>
              <w:bottom w:val="single" w:sz="4" w:space="0" w:color="auto"/>
              <w:right w:val="single" w:sz="4" w:space="0" w:color="auto"/>
            </w:tcBorders>
            <w:shd w:val="clear" w:color="000000" w:fill="FFFFFF"/>
            <w:noWrap/>
            <w:vAlign w:val="bottom"/>
            <w:hideMark/>
          </w:tcPr>
          <w:p w14:paraId="36414F4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-0.21%</w:t>
            </w:r>
          </w:p>
        </w:tc>
        <w:tc>
          <w:tcPr>
            <w:tcW w:w="856" w:type="dxa"/>
            <w:tcBorders>
              <w:top w:val="nil"/>
              <w:left w:val="nil"/>
              <w:bottom w:val="single" w:sz="4" w:space="0" w:color="auto"/>
              <w:right w:val="single" w:sz="4" w:space="0" w:color="auto"/>
            </w:tcBorders>
            <w:shd w:val="clear" w:color="000000" w:fill="FFFFFF"/>
            <w:noWrap/>
            <w:vAlign w:val="bottom"/>
            <w:hideMark/>
          </w:tcPr>
          <w:p w14:paraId="028A0BA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1.67%</w:t>
            </w:r>
          </w:p>
        </w:tc>
        <w:tc>
          <w:tcPr>
            <w:tcW w:w="856" w:type="dxa"/>
            <w:tcBorders>
              <w:top w:val="nil"/>
              <w:left w:val="nil"/>
              <w:bottom w:val="single" w:sz="4" w:space="0" w:color="auto"/>
              <w:right w:val="single" w:sz="4" w:space="0" w:color="auto"/>
            </w:tcBorders>
            <w:shd w:val="clear" w:color="000000" w:fill="FFFFFF"/>
            <w:noWrap/>
            <w:vAlign w:val="bottom"/>
            <w:hideMark/>
          </w:tcPr>
          <w:p w14:paraId="04EE423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1.31%</w:t>
            </w:r>
          </w:p>
        </w:tc>
        <w:tc>
          <w:tcPr>
            <w:tcW w:w="1274" w:type="dxa"/>
            <w:tcBorders>
              <w:top w:val="nil"/>
              <w:left w:val="nil"/>
              <w:bottom w:val="single" w:sz="4" w:space="0" w:color="auto"/>
              <w:right w:val="single" w:sz="4" w:space="0" w:color="auto"/>
            </w:tcBorders>
            <w:shd w:val="clear" w:color="000000" w:fill="FFFFFF"/>
            <w:noWrap/>
            <w:vAlign w:val="bottom"/>
            <w:hideMark/>
          </w:tcPr>
          <w:p w14:paraId="436E059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99.6</w:t>
            </w:r>
          </w:p>
        </w:tc>
      </w:tr>
      <w:tr w:rsidR="00B97B6A" w:rsidRPr="00F96EBF" w14:paraId="1580F293"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10A0E079"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Navarre</w:t>
            </w:r>
          </w:p>
        </w:tc>
        <w:tc>
          <w:tcPr>
            <w:tcW w:w="847" w:type="dxa"/>
            <w:tcBorders>
              <w:top w:val="nil"/>
              <w:left w:val="nil"/>
              <w:bottom w:val="single" w:sz="4" w:space="0" w:color="auto"/>
              <w:right w:val="single" w:sz="4" w:space="0" w:color="auto"/>
            </w:tcBorders>
            <w:shd w:val="clear" w:color="000000" w:fill="FFFFFF"/>
            <w:noWrap/>
            <w:vAlign w:val="bottom"/>
            <w:hideMark/>
          </w:tcPr>
          <w:p w14:paraId="06D02A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79.1</w:t>
            </w:r>
          </w:p>
        </w:tc>
        <w:tc>
          <w:tcPr>
            <w:tcW w:w="892" w:type="dxa"/>
            <w:tcBorders>
              <w:top w:val="nil"/>
              <w:left w:val="nil"/>
              <w:bottom w:val="single" w:sz="4" w:space="0" w:color="auto"/>
              <w:right w:val="single" w:sz="4" w:space="0" w:color="auto"/>
            </w:tcBorders>
            <w:shd w:val="clear" w:color="000000" w:fill="FFFFFF"/>
            <w:noWrap/>
            <w:vAlign w:val="bottom"/>
            <w:hideMark/>
          </w:tcPr>
          <w:p w14:paraId="7AE9C8A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82.9</w:t>
            </w:r>
          </w:p>
        </w:tc>
        <w:tc>
          <w:tcPr>
            <w:tcW w:w="856" w:type="dxa"/>
            <w:tcBorders>
              <w:top w:val="nil"/>
              <w:left w:val="nil"/>
              <w:bottom w:val="single" w:sz="4" w:space="0" w:color="auto"/>
              <w:right w:val="single" w:sz="4" w:space="0" w:color="auto"/>
            </w:tcBorders>
            <w:shd w:val="clear" w:color="000000" w:fill="FFFFFF"/>
            <w:noWrap/>
            <w:vAlign w:val="bottom"/>
            <w:hideMark/>
          </w:tcPr>
          <w:p w14:paraId="75C394A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-0.36%</w:t>
            </w:r>
          </w:p>
        </w:tc>
        <w:tc>
          <w:tcPr>
            <w:tcW w:w="856" w:type="dxa"/>
            <w:tcBorders>
              <w:top w:val="nil"/>
              <w:left w:val="nil"/>
              <w:bottom w:val="single" w:sz="4" w:space="0" w:color="auto"/>
              <w:right w:val="single" w:sz="4" w:space="0" w:color="auto"/>
            </w:tcBorders>
            <w:shd w:val="clear" w:color="000000" w:fill="FFFFFF"/>
            <w:noWrap/>
            <w:vAlign w:val="bottom"/>
            <w:hideMark/>
          </w:tcPr>
          <w:p w14:paraId="6B2A600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0.16%</w:t>
            </w:r>
          </w:p>
        </w:tc>
        <w:tc>
          <w:tcPr>
            <w:tcW w:w="856" w:type="dxa"/>
            <w:tcBorders>
              <w:top w:val="nil"/>
              <w:left w:val="nil"/>
              <w:bottom w:val="single" w:sz="4" w:space="0" w:color="auto"/>
              <w:right w:val="single" w:sz="4" w:space="0" w:color="auto"/>
            </w:tcBorders>
            <w:shd w:val="clear" w:color="000000" w:fill="FFFFFF"/>
            <w:noWrap/>
            <w:vAlign w:val="bottom"/>
            <w:hideMark/>
          </w:tcPr>
          <w:p w14:paraId="53B2972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0.36%</w:t>
            </w:r>
          </w:p>
        </w:tc>
        <w:tc>
          <w:tcPr>
            <w:tcW w:w="1274" w:type="dxa"/>
            <w:tcBorders>
              <w:top w:val="nil"/>
              <w:left w:val="nil"/>
              <w:bottom w:val="single" w:sz="4" w:space="0" w:color="auto"/>
              <w:right w:val="single" w:sz="4" w:space="0" w:color="auto"/>
            </w:tcBorders>
            <w:shd w:val="clear" w:color="000000" w:fill="FFFFFF"/>
            <w:noWrap/>
            <w:vAlign w:val="bottom"/>
            <w:hideMark/>
          </w:tcPr>
          <w:p w14:paraId="055E80D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106.8</w:t>
            </w:r>
          </w:p>
        </w:tc>
      </w:tr>
      <w:tr w:rsidR="00B97B6A" w:rsidRPr="00F96EBF" w14:paraId="66F471A3"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0EE6B5A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La Rioja</w:t>
            </w:r>
          </w:p>
        </w:tc>
        <w:tc>
          <w:tcPr>
            <w:tcW w:w="847" w:type="dxa"/>
            <w:tcBorders>
              <w:top w:val="nil"/>
              <w:left w:val="nil"/>
              <w:bottom w:val="single" w:sz="4" w:space="0" w:color="auto"/>
              <w:right w:val="single" w:sz="4" w:space="0" w:color="auto"/>
            </w:tcBorders>
            <w:shd w:val="clear" w:color="000000" w:fill="FFFFFF"/>
            <w:noWrap/>
            <w:vAlign w:val="bottom"/>
            <w:hideMark/>
          </w:tcPr>
          <w:p w14:paraId="43D4007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67.1</w:t>
            </w:r>
          </w:p>
        </w:tc>
        <w:tc>
          <w:tcPr>
            <w:tcW w:w="892" w:type="dxa"/>
            <w:tcBorders>
              <w:top w:val="nil"/>
              <w:left w:val="nil"/>
              <w:bottom w:val="single" w:sz="4" w:space="0" w:color="auto"/>
              <w:right w:val="single" w:sz="4" w:space="0" w:color="auto"/>
            </w:tcBorders>
            <w:shd w:val="clear" w:color="000000" w:fill="FFFFFF"/>
            <w:noWrap/>
            <w:vAlign w:val="bottom"/>
            <w:hideMark/>
          </w:tcPr>
          <w:p w14:paraId="3721C60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75.6</w:t>
            </w:r>
          </w:p>
        </w:tc>
        <w:tc>
          <w:tcPr>
            <w:tcW w:w="856" w:type="dxa"/>
            <w:tcBorders>
              <w:top w:val="nil"/>
              <w:left w:val="nil"/>
              <w:bottom w:val="single" w:sz="4" w:space="0" w:color="auto"/>
              <w:right w:val="single" w:sz="4" w:space="0" w:color="auto"/>
            </w:tcBorders>
            <w:shd w:val="clear" w:color="000000" w:fill="FFFFFF"/>
            <w:noWrap/>
            <w:vAlign w:val="bottom"/>
            <w:hideMark/>
          </w:tcPr>
          <w:p w14:paraId="25B7696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-0.68%</w:t>
            </w:r>
          </w:p>
        </w:tc>
        <w:tc>
          <w:tcPr>
            <w:tcW w:w="856" w:type="dxa"/>
            <w:tcBorders>
              <w:top w:val="nil"/>
              <w:left w:val="nil"/>
              <w:bottom w:val="single" w:sz="4" w:space="0" w:color="auto"/>
              <w:right w:val="single" w:sz="4" w:space="0" w:color="auto"/>
            </w:tcBorders>
            <w:shd w:val="clear" w:color="000000" w:fill="FFFFFF"/>
            <w:noWrap/>
            <w:vAlign w:val="bottom"/>
            <w:hideMark/>
          </w:tcPr>
          <w:p w14:paraId="0853E40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0.86%</w:t>
            </w:r>
          </w:p>
        </w:tc>
        <w:tc>
          <w:tcPr>
            <w:tcW w:w="856" w:type="dxa"/>
            <w:tcBorders>
              <w:top w:val="nil"/>
              <w:left w:val="nil"/>
              <w:bottom w:val="single" w:sz="4" w:space="0" w:color="auto"/>
              <w:right w:val="single" w:sz="4" w:space="0" w:color="auto"/>
            </w:tcBorders>
            <w:shd w:val="clear" w:color="000000" w:fill="FFFFFF"/>
            <w:noWrap/>
            <w:vAlign w:val="bottom"/>
            <w:hideMark/>
          </w:tcPr>
          <w:p w14:paraId="1560605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0.92%</w:t>
            </w:r>
          </w:p>
        </w:tc>
        <w:tc>
          <w:tcPr>
            <w:tcW w:w="1274" w:type="dxa"/>
            <w:tcBorders>
              <w:top w:val="nil"/>
              <w:left w:val="nil"/>
              <w:bottom w:val="single" w:sz="4" w:space="0" w:color="auto"/>
              <w:right w:val="single" w:sz="4" w:space="0" w:color="auto"/>
            </w:tcBorders>
            <w:shd w:val="clear" w:color="000000" w:fill="FFFFFF"/>
            <w:noWrap/>
            <w:vAlign w:val="bottom"/>
            <w:hideMark/>
          </w:tcPr>
          <w:p w14:paraId="2D5D14D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97.4</w:t>
            </w:r>
          </w:p>
        </w:tc>
      </w:tr>
      <w:tr w:rsidR="00B97B6A" w:rsidRPr="00F96EBF" w14:paraId="644E9F60"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4AB860A4"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Valencian Community</w:t>
            </w:r>
          </w:p>
        </w:tc>
        <w:tc>
          <w:tcPr>
            <w:tcW w:w="847" w:type="dxa"/>
            <w:tcBorders>
              <w:top w:val="nil"/>
              <w:left w:val="nil"/>
              <w:bottom w:val="single" w:sz="4" w:space="0" w:color="auto"/>
              <w:right w:val="single" w:sz="4" w:space="0" w:color="auto"/>
            </w:tcBorders>
            <w:shd w:val="clear" w:color="000000" w:fill="FFFFFF"/>
            <w:noWrap/>
            <w:vAlign w:val="bottom"/>
            <w:hideMark/>
          </w:tcPr>
          <w:p w14:paraId="1E60590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67.2</w:t>
            </w:r>
          </w:p>
        </w:tc>
        <w:tc>
          <w:tcPr>
            <w:tcW w:w="892" w:type="dxa"/>
            <w:tcBorders>
              <w:top w:val="nil"/>
              <w:left w:val="nil"/>
              <w:bottom w:val="single" w:sz="4" w:space="0" w:color="auto"/>
              <w:right w:val="single" w:sz="4" w:space="0" w:color="auto"/>
            </w:tcBorders>
            <w:shd w:val="clear" w:color="000000" w:fill="FFFFFF"/>
            <w:noWrap/>
            <w:vAlign w:val="bottom"/>
            <w:hideMark/>
          </w:tcPr>
          <w:p w14:paraId="71445F7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69.3</w:t>
            </w:r>
          </w:p>
        </w:tc>
        <w:tc>
          <w:tcPr>
            <w:tcW w:w="856" w:type="dxa"/>
            <w:tcBorders>
              <w:top w:val="nil"/>
              <w:left w:val="nil"/>
              <w:bottom w:val="single" w:sz="4" w:space="0" w:color="auto"/>
              <w:right w:val="single" w:sz="4" w:space="0" w:color="auto"/>
            </w:tcBorders>
            <w:shd w:val="clear" w:color="000000" w:fill="FFFFFF"/>
            <w:noWrap/>
            <w:vAlign w:val="bottom"/>
            <w:hideMark/>
          </w:tcPr>
          <w:p w14:paraId="671071F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-1.90%</w:t>
            </w:r>
          </w:p>
        </w:tc>
        <w:tc>
          <w:tcPr>
            <w:tcW w:w="856" w:type="dxa"/>
            <w:tcBorders>
              <w:top w:val="nil"/>
              <w:left w:val="nil"/>
              <w:bottom w:val="single" w:sz="4" w:space="0" w:color="auto"/>
              <w:right w:val="single" w:sz="4" w:space="0" w:color="auto"/>
            </w:tcBorders>
            <w:shd w:val="clear" w:color="000000" w:fill="FFFFFF"/>
            <w:noWrap/>
            <w:vAlign w:val="bottom"/>
            <w:hideMark/>
          </w:tcPr>
          <w:p w14:paraId="7CEFE61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1.57%</w:t>
            </w:r>
          </w:p>
        </w:tc>
        <w:tc>
          <w:tcPr>
            <w:tcW w:w="856" w:type="dxa"/>
            <w:tcBorders>
              <w:top w:val="nil"/>
              <w:left w:val="nil"/>
              <w:bottom w:val="single" w:sz="4" w:space="0" w:color="auto"/>
              <w:right w:val="single" w:sz="4" w:space="0" w:color="auto"/>
            </w:tcBorders>
            <w:shd w:val="clear" w:color="000000" w:fill="FFFFFF"/>
            <w:noWrap/>
            <w:vAlign w:val="bottom"/>
            <w:hideMark/>
          </w:tcPr>
          <w:p w14:paraId="1A5BF64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0.23%</w:t>
            </w:r>
          </w:p>
        </w:tc>
        <w:tc>
          <w:tcPr>
            <w:tcW w:w="1274" w:type="dxa"/>
            <w:tcBorders>
              <w:top w:val="nil"/>
              <w:left w:val="nil"/>
              <w:bottom w:val="single" w:sz="4" w:space="0" w:color="auto"/>
              <w:right w:val="single" w:sz="4" w:space="0" w:color="auto"/>
            </w:tcBorders>
            <w:shd w:val="clear" w:color="000000" w:fill="FFFFFF"/>
            <w:noWrap/>
            <w:vAlign w:val="bottom"/>
            <w:hideMark/>
          </w:tcPr>
          <w:p w14:paraId="5502B7B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89.2</w:t>
            </w:r>
          </w:p>
        </w:tc>
      </w:tr>
      <w:tr w:rsidR="00B97B6A" w:rsidRPr="00F96EBF" w14:paraId="60FC91BA" w14:textId="77777777" w:rsidTr="001A72F4">
        <w:trPr>
          <w:trHeight w:val="227"/>
          <w:jc w:val="center"/>
        </w:trPr>
        <w:tc>
          <w:tcPr>
            <w:tcW w:w="1988" w:type="dxa"/>
            <w:tcBorders>
              <w:top w:val="nil"/>
              <w:left w:val="single" w:sz="4" w:space="0" w:color="auto"/>
              <w:bottom w:val="single" w:sz="4" w:space="0" w:color="auto"/>
              <w:right w:val="single" w:sz="4" w:space="0" w:color="auto"/>
            </w:tcBorders>
            <w:shd w:val="clear" w:color="000000" w:fill="FFFFFF"/>
            <w:noWrap/>
            <w:vAlign w:val="bottom"/>
            <w:hideMark/>
          </w:tcPr>
          <w:p w14:paraId="3745130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Spain</w:t>
            </w:r>
          </w:p>
        </w:tc>
        <w:tc>
          <w:tcPr>
            <w:tcW w:w="847" w:type="dxa"/>
            <w:tcBorders>
              <w:top w:val="nil"/>
              <w:left w:val="nil"/>
              <w:bottom w:val="single" w:sz="4" w:space="0" w:color="auto"/>
              <w:right w:val="single" w:sz="4" w:space="0" w:color="auto"/>
            </w:tcBorders>
            <w:shd w:val="clear" w:color="000000" w:fill="FFFFFF"/>
            <w:noWrap/>
            <w:vAlign w:val="bottom"/>
            <w:hideMark/>
          </w:tcPr>
          <w:p w14:paraId="6FF87FC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71.1</w:t>
            </w:r>
          </w:p>
        </w:tc>
        <w:tc>
          <w:tcPr>
            <w:tcW w:w="892" w:type="dxa"/>
            <w:tcBorders>
              <w:top w:val="nil"/>
              <w:left w:val="nil"/>
              <w:bottom w:val="single" w:sz="4" w:space="0" w:color="auto"/>
              <w:right w:val="single" w:sz="4" w:space="0" w:color="auto"/>
            </w:tcBorders>
            <w:shd w:val="clear" w:color="000000" w:fill="FFFFFF"/>
            <w:noWrap/>
            <w:vAlign w:val="bottom"/>
            <w:hideMark/>
          </w:tcPr>
          <w:p w14:paraId="2B4B265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77.6</w:t>
            </w:r>
          </w:p>
        </w:tc>
        <w:tc>
          <w:tcPr>
            <w:tcW w:w="856" w:type="dxa"/>
            <w:tcBorders>
              <w:top w:val="nil"/>
              <w:left w:val="nil"/>
              <w:bottom w:val="single" w:sz="4" w:space="0" w:color="auto"/>
              <w:right w:val="single" w:sz="4" w:space="0" w:color="auto"/>
            </w:tcBorders>
            <w:shd w:val="clear" w:color="000000" w:fill="FFFFFF"/>
            <w:noWrap/>
            <w:vAlign w:val="bottom"/>
            <w:hideMark/>
          </w:tcPr>
          <w:p w14:paraId="7D0B068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-0.40%</w:t>
            </w:r>
          </w:p>
        </w:tc>
        <w:tc>
          <w:tcPr>
            <w:tcW w:w="856" w:type="dxa"/>
            <w:tcBorders>
              <w:top w:val="nil"/>
              <w:left w:val="nil"/>
              <w:bottom w:val="single" w:sz="4" w:space="0" w:color="auto"/>
              <w:right w:val="single" w:sz="4" w:space="0" w:color="auto"/>
            </w:tcBorders>
            <w:shd w:val="clear" w:color="000000" w:fill="FFFFFF"/>
            <w:noWrap/>
            <w:vAlign w:val="bottom"/>
            <w:hideMark/>
          </w:tcPr>
          <w:p w14:paraId="2B07A12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0.78%</w:t>
            </w:r>
          </w:p>
        </w:tc>
        <w:tc>
          <w:tcPr>
            <w:tcW w:w="856" w:type="dxa"/>
            <w:tcBorders>
              <w:top w:val="nil"/>
              <w:left w:val="nil"/>
              <w:bottom w:val="single" w:sz="4" w:space="0" w:color="auto"/>
              <w:right w:val="single" w:sz="4" w:space="0" w:color="auto"/>
            </w:tcBorders>
            <w:shd w:val="clear" w:color="000000" w:fill="FFFFFF"/>
            <w:noWrap/>
            <w:vAlign w:val="bottom"/>
            <w:hideMark/>
          </w:tcPr>
          <w:p w14:paraId="5EBEED5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0.68%</w:t>
            </w:r>
          </w:p>
        </w:tc>
        <w:tc>
          <w:tcPr>
            <w:tcW w:w="1274" w:type="dxa"/>
            <w:tcBorders>
              <w:top w:val="nil"/>
              <w:left w:val="nil"/>
              <w:bottom w:val="single" w:sz="4" w:space="0" w:color="auto"/>
              <w:right w:val="single" w:sz="4" w:space="0" w:color="auto"/>
            </w:tcBorders>
            <w:shd w:val="clear" w:color="000000" w:fill="FFFFFF"/>
            <w:noWrap/>
            <w:vAlign w:val="bottom"/>
            <w:hideMark/>
          </w:tcPr>
          <w:p w14:paraId="5DA368E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w:t>
            </w:r>
          </w:p>
        </w:tc>
      </w:tr>
    </w:tbl>
    <w:p w14:paraId="539B5A94" w14:textId="5631B6F8" w:rsidR="00310E38" w:rsidRPr="00F96EBF" w:rsidRDefault="00F26374" w:rsidP="006D08A5">
      <w:pPr>
        <w:rPr>
          <w:color w:val="000000" w:themeColor="text1"/>
          <w:lang w:val="en-GB"/>
        </w:rPr>
      </w:pPr>
      <w:r w:rsidRPr="00813E8F">
        <w:rPr>
          <w:iCs/>
          <w:color w:val="000000" w:themeColor="text1"/>
          <w:sz w:val="22"/>
          <w:szCs w:val="22"/>
          <w:lang w:val="en-GB"/>
        </w:rPr>
        <w:t>Source:</w:t>
      </w:r>
      <w:r w:rsidRPr="00813E8F">
        <w:rPr>
          <w:i/>
          <w:color w:val="000000" w:themeColor="text1"/>
          <w:sz w:val="22"/>
          <w:szCs w:val="22"/>
          <w:lang w:val="en-GB"/>
        </w:rPr>
        <w:t xml:space="preserve"> </w:t>
      </w:r>
      <w:r w:rsidR="00EA17FE" w:rsidRPr="00813E8F">
        <w:rPr>
          <w:color w:val="000000" w:themeColor="text1"/>
          <w:sz w:val="22"/>
          <w:szCs w:val="22"/>
          <w:lang w:val="en-GB"/>
        </w:rPr>
        <w:t xml:space="preserve">Table constructed by authors using </w:t>
      </w:r>
      <w:r w:rsidR="00EA17FE" w:rsidRPr="00F96EBF">
        <w:rPr>
          <w:color w:val="000000" w:themeColor="text1"/>
          <w:sz w:val="22"/>
          <w:szCs w:val="22"/>
          <w:lang w:val="en-GB"/>
        </w:rPr>
        <w:t xml:space="preserve">data from </w:t>
      </w:r>
      <w:proofErr w:type="spellStart"/>
      <w:r w:rsidR="007D73CD" w:rsidRPr="00EA17FE">
        <w:rPr>
          <w:color w:val="000000" w:themeColor="text1"/>
          <w:sz w:val="22"/>
          <w:szCs w:val="22"/>
          <w:lang w:val="en-GB"/>
        </w:rPr>
        <w:t>Ministerio</w:t>
      </w:r>
      <w:proofErr w:type="spellEnd"/>
      <w:r w:rsidR="007D73CD" w:rsidRPr="00EA17FE">
        <w:rPr>
          <w:color w:val="000000" w:themeColor="text1"/>
          <w:sz w:val="22"/>
          <w:szCs w:val="22"/>
          <w:lang w:val="en-GB"/>
        </w:rPr>
        <w:t xml:space="preserve"> de </w:t>
      </w:r>
      <w:proofErr w:type="spellStart"/>
      <w:r w:rsidR="007D73CD" w:rsidRPr="00EA17FE">
        <w:rPr>
          <w:color w:val="000000" w:themeColor="text1"/>
          <w:sz w:val="22"/>
          <w:szCs w:val="22"/>
          <w:lang w:val="en-GB"/>
        </w:rPr>
        <w:t>Educación</w:t>
      </w:r>
      <w:proofErr w:type="spellEnd"/>
      <w:r w:rsidR="007D73CD">
        <w:rPr>
          <w:color w:val="000000" w:themeColor="text1"/>
          <w:sz w:val="22"/>
          <w:szCs w:val="22"/>
          <w:lang w:val="en-GB"/>
        </w:rPr>
        <w:t xml:space="preserve"> y </w:t>
      </w:r>
      <w:proofErr w:type="spellStart"/>
      <w:r w:rsidR="007D73CD">
        <w:rPr>
          <w:color w:val="000000" w:themeColor="text1"/>
          <w:sz w:val="22"/>
          <w:szCs w:val="22"/>
          <w:lang w:val="en-GB"/>
        </w:rPr>
        <w:t>Formación</w:t>
      </w:r>
      <w:proofErr w:type="spellEnd"/>
      <w:r w:rsidR="007D73CD">
        <w:rPr>
          <w:color w:val="000000" w:themeColor="text1"/>
          <w:sz w:val="22"/>
          <w:szCs w:val="22"/>
          <w:lang w:val="en-GB"/>
        </w:rPr>
        <w:t xml:space="preserve"> </w:t>
      </w:r>
      <w:proofErr w:type="spellStart"/>
      <w:r w:rsidR="007D73CD">
        <w:rPr>
          <w:color w:val="000000" w:themeColor="text1"/>
          <w:sz w:val="22"/>
          <w:szCs w:val="22"/>
          <w:lang w:val="en-GB"/>
        </w:rPr>
        <w:t>Profesional</w:t>
      </w:r>
      <w:proofErr w:type="spellEnd"/>
      <w:r w:rsidR="00E22051">
        <w:rPr>
          <w:color w:val="000000" w:themeColor="text1"/>
          <w:sz w:val="22"/>
          <w:szCs w:val="22"/>
          <w:lang w:val="en-GB"/>
        </w:rPr>
        <w:t xml:space="preserve"> (2019)</w:t>
      </w:r>
    </w:p>
    <w:p w14:paraId="09EEC838" w14:textId="77777777" w:rsidR="00310E38" w:rsidRPr="00F96EBF" w:rsidRDefault="00310E38" w:rsidP="006D08A5">
      <w:pPr>
        <w:rPr>
          <w:color w:val="000000" w:themeColor="text1"/>
          <w:lang w:val="en-GB"/>
        </w:rPr>
      </w:pPr>
    </w:p>
    <w:p w14:paraId="2883C7C3" w14:textId="77777777" w:rsidR="00310E38" w:rsidRPr="00F96EBF" w:rsidRDefault="00310E38" w:rsidP="006D08A5">
      <w:pPr>
        <w:rPr>
          <w:color w:val="000000" w:themeColor="text1"/>
          <w:lang w:val="en-GB"/>
        </w:rPr>
      </w:pPr>
    </w:p>
    <w:p w14:paraId="62935F40" w14:textId="14F583EF" w:rsidR="00310E38" w:rsidRPr="00F96EBF" w:rsidRDefault="00310E38" w:rsidP="006D08A5">
      <w:pPr>
        <w:keepNext/>
        <w:keepLines/>
        <w:rPr>
          <w:color w:val="000000" w:themeColor="text1"/>
          <w:lang w:val="en-GB"/>
        </w:rPr>
      </w:pPr>
      <w:r w:rsidRPr="00813E8F">
        <w:rPr>
          <w:bCs/>
          <w:color w:val="000000" w:themeColor="text1"/>
          <w:lang w:val="en-GB"/>
        </w:rPr>
        <w:t xml:space="preserve">Table </w:t>
      </w:r>
      <w:r w:rsidR="00444FC1">
        <w:rPr>
          <w:bCs/>
          <w:color w:val="000000" w:themeColor="text1"/>
          <w:lang w:val="en-GB"/>
        </w:rPr>
        <w:t>6</w:t>
      </w:r>
      <w:r w:rsidRPr="00813E8F">
        <w:rPr>
          <w:bCs/>
          <w:color w:val="000000" w:themeColor="text1"/>
          <w:lang w:val="en-GB"/>
        </w:rPr>
        <w:t>.</w:t>
      </w:r>
      <w:r w:rsidRPr="00813E8F">
        <w:rPr>
          <w:b/>
          <w:color w:val="000000" w:themeColor="text1"/>
          <w:lang w:val="en-GB"/>
        </w:rPr>
        <w:t xml:space="preserve"> </w:t>
      </w:r>
      <w:r w:rsidRPr="00813E8F">
        <w:rPr>
          <w:color w:val="000000" w:themeColor="text1"/>
          <w:lang w:val="en-GB"/>
        </w:rPr>
        <w:t xml:space="preserve">PISA </w:t>
      </w:r>
      <w:r w:rsidRPr="00F96EBF">
        <w:rPr>
          <w:color w:val="000000" w:themeColor="text1"/>
          <w:lang w:val="en-GB"/>
        </w:rPr>
        <w:t>scores by region</w:t>
      </w:r>
    </w:p>
    <w:tbl>
      <w:tblPr>
        <w:tblW w:w="6813" w:type="dxa"/>
        <w:jc w:val="center"/>
        <w:tblCellMar>
          <w:left w:w="70" w:type="dxa"/>
          <w:right w:w="70" w:type="dxa"/>
        </w:tblCellMar>
        <w:tblLook w:val="04A0" w:firstRow="1" w:lastRow="0" w:firstColumn="1" w:lastColumn="0" w:noHBand="0" w:noVBand="1"/>
      </w:tblPr>
      <w:tblGrid>
        <w:gridCol w:w="2000"/>
        <w:gridCol w:w="865"/>
        <w:gridCol w:w="829"/>
        <w:gridCol w:w="852"/>
        <w:gridCol w:w="823"/>
        <w:gridCol w:w="1444"/>
      </w:tblGrid>
      <w:tr w:rsidR="00B97B6A" w:rsidRPr="00F96EBF" w14:paraId="4738BE10" w14:textId="77777777" w:rsidTr="001A72F4">
        <w:trPr>
          <w:trHeight w:val="300"/>
          <w:jc w:val="center"/>
        </w:trPr>
        <w:tc>
          <w:tcPr>
            <w:tcW w:w="2000" w:type="dxa"/>
            <w:tcBorders>
              <w:top w:val="nil"/>
              <w:left w:val="nil"/>
              <w:bottom w:val="nil"/>
              <w:right w:val="nil"/>
            </w:tcBorders>
            <w:noWrap/>
            <w:vAlign w:val="bottom"/>
            <w:hideMark/>
          </w:tcPr>
          <w:p w14:paraId="4ABA0B2B" w14:textId="77777777" w:rsidR="00310E38" w:rsidRPr="00F96EBF" w:rsidRDefault="00310E38" w:rsidP="006D08A5">
            <w:pPr>
              <w:keepNext/>
              <w:keepLines/>
              <w:rPr>
                <w:color w:val="000000" w:themeColor="text1"/>
                <w:lang w:val="en-GB"/>
              </w:rPr>
            </w:pPr>
          </w:p>
        </w:tc>
        <w:tc>
          <w:tcPr>
            <w:tcW w:w="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4B4032"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Reading</w:t>
            </w:r>
          </w:p>
        </w:tc>
        <w:tc>
          <w:tcPr>
            <w:tcW w:w="8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A9443"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Maths</w:t>
            </w:r>
          </w:p>
        </w:tc>
        <w:tc>
          <w:tcPr>
            <w:tcW w:w="8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67680"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Science</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3CF421"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Average</w:t>
            </w:r>
          </w:p>
        </w:tc>
        <w:tc>
          <w:tcPr>
            <w:tcW w:w="14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6E517A" w14:textId="77777777" w:rsidR="00310E38" w:rsidRPr="00F96EBF" w:rsidRDefault="00310E38" w:rsidP="00A4130E">
            <w:pPr>
              <w:keepNext/>
              <w:keepLines/>
              <w:jc w:val="center"/>
              <w:rPr>
                <w:b/>
                <w:bCs/>
                <w:color w:val="000000" w:themeColor="text1"/>
                <w:sz w:val="18"/>
                <w:szCs w:val="18"/>
                <w:lang w:val="en-GB"/>
              </w:rPr>
            </w:pPr>
            <w:r w:rsidRPr="00F96EBF">
              <w:rPr>
                <w:b/>
                <w:bCs/>
                <w:color w:val="000000" w:themeColor="text1"/>
                <w:sz w:val="18"/>
                <w:szCs w:val="18"/>
                <w:lang w:val="en-GB"/>
              </w:rPr>
              <w:t>Interregional difference (Spain=100)</w:t>
            </w:r>
          </w:p>
        </w:tc>
      </w:tr>
      <w:tr w:rsidR="00B97B6A" w:rsidRPr="00F96EBF" w14:paraId="52AB2CC9" w14:textId="77777777" w:rsidTr="001A72F4">
        <w:trPr>
          <w:trHeight w:val="525"/>
          <w:jc w:val="center"/>
        </w:trPr>
        <w:tc>
          <w:tcPr>
            <w:tcW w:w="2000" w:type="dxa"/>
            <w:tcBorders>
              <w:top w:val="nil"/>
              <w:left w:val="nil"/>
              <w:bottom w:val="nil"/>
              <w:right w:val="nil"/>
            </w:tcBorders>
            <w:noWrap/>
            <w:vAlign w:val="bottom"/>
            <w:hideMark/>
          </w:tcPr>
          <w:p w14:paraId="66E058AE" w14:textId="77777777" w:rsidR="00310E38" w:rsidRPr="00F96EBF" w:rsidRDefault="00310E38" w:rsidP="006D08A5">
            <w:pPr>
              <w:keepNext/>
              <w:keepLines/>
              <w:rPr>
                <w:b/>
                <w:bCs/>
                <w:color w:val="000000" w:themeColor="text1"/>
                <w:sz w:val="20"/>
                <w:szCs w:val="20"/>
                <w:lang w:val="en-GB"/>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7B7087E" w14:textId="77777777" w:rsidR="00310E38" w:rsidRPr="00F96EBF" w:rsidRDefault="00310E38" w:rsidP="00A4130E">
            <w:pPr>
              <w:keepNext/>
              <w:keepLines/>
              <w:jc w:val="center"/>
              <w:rPr>
                <w:b/>
                <w:bCs/>
                <w:color w:val="000000" w:themeColor="text1"/>
                <w:sz w:val="20"/>
                <w:szCs w:val="20"/>
                <w:lang w:val="en-GB"/>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53CD9839" w14:textId="77777777" w:rsidR="00310E38" w:rsidRPr="00F96EBF" w:rsidRDefault="00310E38" w:rsidP="00A4130E">
            <w:pPr>
              <w:keepNext/>
              <w:keepLines/>
              <w:jc w:val="center"/>
              <w:rPr>
                <w:b/>
                <w:bCs/>
                <w:color w:val="000000" w:themeColor="text1"/>
                <w:sz w:val="20"/>
                <w:szCs w:val="20"/>
                <w:lang w:val="en-GB"/>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155A35E" w14:textId="77777777" w:rsidR="00310E38" w:rsidRPr="00F96EBF" w:rsidRDefault="00310E38" w:rsidP="00A4130E">
            <w:pPr>
              <w:keepNext/>
              <w:keepLines/>
              <w:jc w:val="center"/>
              <w:rPr>
                <w:b/>
                <w:bCs/>
                <w:color w:val="000000" w:themeColor="text1"/>
                <w:sz w:val="20"/>
                <w:szCs w:val="20"/>
                <w:lang w:val="en-GB"/>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1D690CC4" w14:textId="77777777" w:rsidR="00310E38" w:rsidRPr="00F96EBF" w:rsidRDefault="00310E38" w:rsidP="00A4130E">
            <w:pPr>
              <w:keepNext/>
              <w:keepLines/>
              <w:jc w:val="center"/>
              <w:rPr>
                <w:b/>
                <w:bCs/>
                <w:color w:val="000000" w:themeColor="text1"/>
                <w:sz w:val="20"/>
                <w:szCs w:val="20"/>
                <w:lang w:val="en-GB"/>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14:paraId="621B76D8" w14:textId="77777777" w:rsidR="00310E38" w:rsidRPr="00F96EBF" w:rsidRDefault="00310E38" w:rsidP="00A4130E">
            <w:pPr>
              <w:keepNext/>
              <w:keepLines/>
              <w:jc w:val="center"/>
              <w:rPr>
                <w:b/>
                <w:bCs/>
                <w:color w:val="000000" w:themeColor="text1"/>
                <w:sz w:val="20"/>
                <w:szCs w:val="20"/>
                <w:lang w:val="en-GB"/>
              </w:rPr>
            </w:pPr>
          </w:p>
        </w:tc>
      </w:tr>
      <w:tr w:rsidR="00B97B6A" w:rsidRPr="00F96EBF" w14:paraId="32BA07D2" w14:textId="77777777" w:rsidTr="001A72F4">
        <w:trPr>
          <w:trHeight w:val="227"/>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1FF94"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Andalusia</w:t>
            </w:r>
          </w:p>
        </w:tc>
        <w:tc>
          <w:tcPr>
            <w:tcW w:w="865" w:type="dxa"/>
            <w:tcBorders>
              <w:top w:val="nil"/>
              <w:left w:val="nil"/>
              <w:bottom w:val="single" w:sz="4" w:space="0" w:color="auto"/>
              <w:right w:val="single" w:sz="4" w:space="0" w:color="auto"/>
            </w:tcBorders>
            <w:shd w:val="clear" w:color="000000" w:fill="FFFFFF"/>
            <w:noWrap/>
            <w:vAlign w:val="bottom"/>
            <w:hideMark/>
          </w:tcPr>
          <w:p w14:paraId="78167B1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479</w:t>
            </w:r>
          </w:p>
        </w:tc>
        <w:tc>
          <w:tcPr>
            <w:tcW w:w="829" w:type="dxa"/>
            <w:tcBorders>
              <w:top w:val="nil"/>
              <w:left w:val="nil"/>
              <w:bottom w:val="single" w:sz="4" w:space="0" w:color="auto"/>
              <w:right w:val="single" w:sz="4" w:space="0" w:color="auto"/>
            </w:tcBorders>
            <w:shd w:val="clear" w:color="000000" w:fill="FFFFFF"/>
            <w:noWrap/>
            <w:vAlign w:val="bottom"/>
            <w:hideMark/>
          </w:tcPr>
          <w:p w14:paraId="117D5FF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466</w:t>
            </w:r>
          </w:p>
        </w:tc>
        <w:tc>
          <w:tcPr>
            <w:tcW w:w="852" w:type="dxa"/>
            <w:tcBorders>
              <w:top w:val="nil"/>
              <w:left w:val="nil"/>
              <w:bottom w:val="single" w:sz="4" w:space="0" w:color="auto"/>
              <w:right w:val="single" w:sz="4" w:space="0" w:color="auto"/>
            </w:tcBorders>
            <w:shd w:val="clear" w:color="000000" w:fill="FFFFFF"/>
            <w:noWrap/>
            <w:vAlign w:val="bottom"/>
            <w:hideMark/>
          </w:tcPr>
          <w:p w14:paraId="11D7B0E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473</w:t>
            </w:r>
          </w:p>
        </w:tc>
        <w:tc>
          <w:tcPr>
            <w:tcW w:w="823" w:type="dxa"/>
            <w:tcBorders>
              <w:top w:val="nil"/>
              <w:left w:val="nil"/>
              <w:bottom w:val="single" w:sz="4" w:space="0" w:color="auto"/>
              <w:right w:val="single" w:sz="4" w:space="0" w:color="auto"/>
            </w:tcBorders>
            <w:shd w:val="clear" w:color="000000" w:fill="FFFFFF"/>
            <w:noWrap/>
            <w:vAlign w:val="bottom"/>
            <w:hideMark/>
          </w:tcPr>
          <w:p w14:paraId="1AAA081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472.7</w:t>
            </w:r>
          </w:p>
        </w:tc>
        <w:tc>
          <w:tcPr>
            <w:tcW w:w="1444" w:type="dxa"/>
            <w:tcBorders>
              <w:top w:val="nil"/>
              <w:left w:val="nil"/>
              <w:bottom w:val="single" w:sz="4" w:space="0" w:color="auto"/>
              <w:right w:val="single" w:sz="4" w:space="0" w:color="auto"/>
            </w:tcBorders>
            <w:shd w:val="clear" w:color="000000" w:fill="FFFFFF"/>
            <w:noWrap/>
            <w:vAlign w:val="bottom"/>
            <w:hideMark/>
          </w:tcPr>
          <w:p w14:paraId="0804944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96.1</w:t>
            </w:r>
          </w:p>
        </w:tc>
      </w:tr>
      <w:tr w:rsidR="00B97B6A" w:rsidRPr="00F96EBF" w14:paraId="7DA58381"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5CABF7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Aragón</w:t>
            </w:r>
          </w:p>
        </w:tc>
        <w:tc>
          <w:tcPr>
            <w:tcW w:w="865" w:type="dxa"/>
            <w:tcBorders>
              <w:top w:val="nil"/>
              <w:left w:val="nil"/>
              <w:bottom w:val="single" w:sz="4" w:space="0" w:color="auto"/>
              <w:right w:val="single" w:sz="4" w:space="0" w:color="auto"/>
            </w:tcBorders>
            <w:shd w:val="clear" w:color="000000" w:fill="FFFFFF"/>
            <w:noWrap/>
            <w:vAlign w:val="bottom"/>
            <w:hideMark/>
          </w:tcPr>
          <w:p w14:paraId="6E1FBFD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506</w:t>
            </w:r>
          </w:p>
        </w:tc>
        <w:tc>
          <w:tcPr>
            <w:tcW w:w="829" w:type="dxa"/>
            <w:tcBorders>
              <w:top w:val="nil"/>
              <w:left w:val="nil"/>
              <w:bottom w:val="single" w:sz="4" w:space="0" w:color="auto"/>
              <w:right w:val="single" w:sz="4" w:space="0" w:color="auto"/>
            </w:tcBorders>
            <w:shd w:val="clear" w:color="000000" w:fill="FFFFFF"/>
            <w:noWrap/>
            <w:vAlign w:val="bottom"/>
            <w:hideMark/>
          </w:tcPr>
          <w:p w14:paraId="5310BC1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500</w:t>
            </w:r>
          </w:p>
        </w:tc>
        <w:tc>
          <w:tcPr>
            <w:tcW w:w="852" w:type="dxa"/>
            <w:tcBorders>
              <w:top w:val="nil"/>
              <w:left w:val="nil"/>
              <w:bottom w:val="single" w:sz="4" w:space="0" w:color="auto"/>
              <w:right w:val="single" w:sz="4" w:space="0" w:color="auto"/>
            </w:tcBorders>
            <w:shd w:val="clear" w:color="000000" w:fill="FFFFFF"/>
            <w:noWrap/>
            <w:vAlign w:val="bottom"/>
            <w:hideMark/>
          </w:tcPr>
          <w:p w14:paraId="440C450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508</w:t>
            </w:r>
          </w:p>
        </w:tc>
        <w:tc>
          <w:tcPr>
            <w:tcW w:w="823" w:type="dxa"/>
            <w:tcBorders>
              <w:top w:val="nil"/>
              <w:left w:val="nil"/>
              <w:bottom w:val="single" w:sz="4" w:space="0" w:color="auto"/>
              <w:right w:val="single" w:sz="4" w:space="0" w:color="auto"/>
            </w:tcBorders>
            <w:shd w:val="clear" w:color="000000" w:fill="FFFFFF"/>
            <w:noWrap/>
            <w:vAlign w:val="bottom"/>
            <w:hideMark/>
          </w:tcPr>
          <w:p w14:paraId="25C0D76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504.7</w:t>
            </w:r>
          </w:p>
        </w:tc>
        <w:tc>
          <w:tcPr>
            <w:tcW w:w="1444" w:type="dxa"/>
            <w:tcBorders>
              <w:top w:val="nil"/>
              <w:left w:val="nil"/>
              <w:bottom w:val="single" w:sz="4" w:space="0" w:color="auto"/>
              <w:right w:val="single" w:sz="4" w:space="0" w:color="auto"/>
            </w:tcBorders>
            <w:shd w:val="clear" w:color="000000" w:fill="FFFFFF"/>
            <w:noWrap/>
            <w:vAlign w:val="bottom"/>
            <w:hideMark/>
          </w:tcPr>
          <w:p w14:paraId="7213D37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102.6</w:t>
            </w:r>
          </w:p>
        </w:tc>
      </w:tr>
      <w:tr w:rsidR="00B97B6A" w:rsidRPr="00F96EBF" w14:paraId="1BE103BF"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1B2DA1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Asturias</w:t>
            </w:r>
          </w:p>
        </w:tc>
        <w:tc>
          <w:tcPr>
            <w:tcW w:w="865" w:type="dxa"/>
            <w:tcBorders>
              <w:top w:val="nil"/>
              <w:left w:val="nil"/>
              <w:bottom w:val="single" w:sz="4" w:space="0" w:color="auto"/>
              <w:right w:val="single" w:sz="4" w:space="0" w:color="auto"/>
            </w:tcBorders>
            <w:shd w:val="clear" w:color="000000" w:fill="FFFFFF"/>
            <w:noWrap/>
            <w:vAlign w:val="bottom"/>
            <w:hideMark/>
          </w:tcPr>
          <w:p w14:paraId="556538F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498</w:t>
            </w:r>
          </w:p>
        </w:tc>
        <w:tc>
          <w:tcPr>
            <w:tcW w:w="829" w:type="dxa"/>
            <w:tcBorders>
              <w:top w:val="nil"/>
              <w:left w:val="nil"/>
              <w:bottom w:val="single" w:sz="4" w:space="0" w:color="auto"/>
              <w:right w:val="single" w:sz="4" w:space="0" w:color="auto"/>
            </w:tcBorders>
            <w:shd w:val="clear" w:color="000000" w:fill="FFFFFF"/>
            <w:noWrap/>
            <w:vAlign w:val="bottom"/>
            <w:hideMark/>
          </w:tcPr>
          <w:p w14:paraId="27470D5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492</w:t>
            </w:r>
          </w:p>
        </w:tc>
        <w:tc>
          <w:tcPr>
            <w:tcW w:w="852" w:type="dxa"/>
            <w:tcBorders>
              <w:top w:val="nil"/>
              <w:left w:val="nil"/>
              <w:bottom w:val="single" w:sz="4" w:space="0" w:color="auto"/>
              <w:right w:val="single" w:sz="4" w:space="0" w:color="auto"/>
            </w:tcBorders>
            <w:shd w:val="clear" w:color="000000" w:fill="FFFFFF"/>
            <w:noWrap/>
            <w:vAlign w:val="bottom"/>
            <w:hideMark/>
          </w:tcPr>
          <w:p w14:paraId="6BD7592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501</w:t>
            </w:r>
          </w:p>
        </w:tc>
        <w:tc>
          <w:tcPr>
            <w:tcW w:w="823" w:type="dxa"/>
            <w:tcBorders>
              <w:top w:val="nil"/>
              <w:left w:val="nil"/>
              <w:bottom w:val="single" w:sz="4" w:space="0" w:color="auto"/>
              <w:right w:val="single" w:sz="4" w:space="0" w:color="auto"/>
            </w:tcBorders>
            <w:shd w:val="clear" w:color="000000" w:fill="FFFFFF"/>
            <w:noWrap/>
            <w:vAlign w:val="bottom"/>
            <w:hideMark/>
          </w:tcPr>
          <w:p w14:paraId="3F84473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497</w:t>
            </w:r>
          </w:p>
        </w:tc>
        <w:tc>
          <w:tcPr>
            <w:tcW w:w="1444" w:type="dxa"/>
            <w:tcBorders>
              <w:top w:val="nil"/>
              <w:left w:val="nil"/>
              <w:bottom w:val="single" w:sz="4" w:space="0" w:color="auto"/>
              <w:right w:val="single" w:sz="4" w:space="0" w:color="auto"/>
            </w:tcBorders>
            <w:shd w:val="clear" w:color="000000" w:fill="FFFFFF"/>
            <w:noWrap/>
            <w:vAlign w:val="bottom"/>
            <w:hideMark/>
          </w:tcPr>
          <w:p w14:paraId="50AD1A9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101.1</w:t>
            </w:r>
          </w:p>
        </w:tc>
      </w:tr>
      <w:tr w:rsidR="00B97B6A" w:rsidRPr="00F96EBF" w14:paraId="21247415"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2596C6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Balearic Islands</w:t>
            </w:r>
          </w:p>
        </w:tc>
        <w:tc>
          <w:tcPr>
            <w:tcW w:w="865" w:type="dxa"/>
            <w:tcBorders>
              <w:top w:val="nil"/>
              <w:left w:val="nil"/>
              <w:bottom w:val="single" w:sz="4" w:space="0" w:color="auto"/>
              <w:right w:val="single" w:sz="4" w:space="0" w:color="auto"/>
            </w:tcBorders>
            <w:shd w:val="clear" w:color="000000" w:fill="FFFFFF"/>
            <w:noWrap/>
            <w:vAlign w:val="bottom"/>
            <w:hideMark/>
          </w:tcPr>
          <w:p w14:paraId="5BA0D08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485</w:t>
            </w:r>
          </w:p>
        </w:tc>
        <w:tc>
          <w:tcPr>
            <w:tcW w:w="829" w:type="dxa"/>
            <w:tcBorders>
              <w:top w:val="nil"/>
              <w:left w:val="nil"/>
              <w:bottom w:val="single" w:sz="4" w:space="0" w:color="auto"/>
              <w:right w:val="single" w:sz="4" w:space="0" w:color="auto"/>
            </w:tcBorders>
            <w:shd w:val="clear" w:color="000000" w:fill="FFFFFF"/>
            <w:noWrap/>
            <w:vAlign w:val="bottom"/>
            <w:hideMark/>
          </w:tcPr>
          <w:p w14:paraId="436DE4A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476</w:t>
            </w:r>
          </w:p>
        </w:tc>
        <w:tc>
          <w:tcPr>
            <w:tcW w:w="852" w:type="dxa"/>
            <w:tcBorders>
              <w:top w:val="nil"/>
              <w:left w:val="nil"/>
              <w:bottom w:val="single" w:sz="4" w:space="0" w:color="auto"/>
              <w:right w:val="single" w:sz="4" w:space="0" w:color="auto"/>
            </w:tcBorders>
            <w:shd w:val="clear" w:color="000000" w:fill="FFFFFF"/>
            <w:noWrap/>
            <w:vAlign w:val="bottom"/>
            <w:hideMark/>
          </w:tcPr>
          <w:p w14:paraId="69EA9BC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485</w:t>
            </w:r>
          </w:p>
        </w:tc>
        <w:tc>
          <w:tcPr>
            <w:tcW w:w="823" w:type="dxa"/>
            <w:tcBorders>
              <w:top w:val="nil"/>
              <w:left w:val="nil"/>
              <w:bottom w:val="single" w:sz="4" w:space="0" w:color="auto"/>
              <w:right w:val="single" w:sz="4" w:space="0" w:color="auto"/>
            </w:tcBorders>
            <w:shd w:val="clear" w:color="000000" w:fill="FFFFFF"/>
            <w:noWrap/>
            <w:vAlign w:val="bottom"/>
            <w:hideMark/>
          </w:tcPr>
          <w:p w14:paraId="686841A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482</w:t>
            </w:r>
          </w:p>
        </w:tc>
        <w:tc>
          <w:tcPr>
            <w:tcW w:w="1444" w:type="dxa"/>
            <w:tcBorders>
              <w:top w:val="nil"/>
              <w:left w:val="nil"/>
              <w:bottom w:val="single" w:sz="4" w:space="0" w:color="auto"/>
              <w:right w:val="single" w:sz="4" w:space="0" w:color="auto"/>
            </w:tcBorders>
            <w:shd w:val="clear" w:color="000000" w:fill="FFFFFF"/>
            <w:noWrap/>
            <w:vAlign w:val="bottom"/>
            <w:hideMark/>
          </w:tcPr>
          <w:p w14:paraId="02AC256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98</w:t>
            </w:r>
          </w:p>
        </w:tc>
      </w:tr>
      <w:tr w:rsidR="00B97B6A" w:rsidRPr="00F96EBF" w14:paraId="22631454"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0E8606E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Basque Country</w:t>
            </w:r>
          </w:p>
        </w:tc>
        <w:tc>
          <w:tcPr>
            <w:tcW w:w="865" w:type="dxa"/>
            <w:tcBorders>
              <w:top w:val="nil"/>
              <w:left w:val="nil"/>
              <w:bottom w:val="single" w:sz="4" w:space="0" w:color="auto"/>
              <w:right w:val="single" w:sz="4" w:space="0" w:color="auto"/>
            </w:tcBorders>
            <w:shd w:val="clear" w:color="000000" w:fill="FFFFFF"/>
            <w:noWrap/>
            <w:vAlign w:val="bottom"/>
            <w:hideMark/>
          </w:tcPr>
          <w:p w14:paraId="46C46C8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491</w:t>
            </w:r>
          </w:p>
        </w:tc>
        <w:tc>
          <w:tcPr>
            <w:tcW w:w="829" w:type="dxa"/>
            <w:tcBorders>
              <w:top w:val="nil"/>
              <w:left w:val="nil"/>
              <w:bottom w:val="single" w:sz="4" w:space="0" w:color="auto"/>
              <w:right w:val="single" w:sz="4" w:space="0" w:color="auto"/>
            </w:tcBorders>
            <w:shd w:val="clear" w:color="000000" w:fill="FFFFFF"/>
            <w:noWrap/>
            <w:vAlign w:val="bottom"/>
            <w:hideMark/>
          </w:tcPr>
          <w:p w14:paraId="7884DE0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492</w:t>
            </w:r>
          </w:p>
        </w:tc>
        <w:tc>
          <w:tcPr>
            <w:tcW w:w="852" w:type="dxa"/>
            <w:tcBorders>
              <w:top w:val="nil"/>
              <w:left w:val="nil"/>
              <w:bottom w:val="single" w:sz="4" w:space="0" w:color="auto"/>
              <w:right w:val="single" w:sz="4" w:space="0" w:color="auto"/>
            </w:tcBorders>
            <w:shd w:val="clear" w:color="000000" w:fill="FFFFFF"/>
            <w:noWrap/>
            <w:vAlign w:val="bottom"/>
            <w:hideMark/>
          </w:tcPr>
          <w:p w14:paraId="1C474C20"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483</w:t>
            </w:r>
          </w:p>
        </w:tc>
        <w:tc>
          <w:tcPr>
            <w:tcW w:w="823" w:type="dxa"/>
            <w:tcBorders>
              <w:top w:val="nil"/>
              <w:left w:val="nil"/>
              <w:bottom w:val="single" w:sz="4" w:space="0" w:color="auto"/>
              <w:right w:val="single" w:sz="4" w:space="0" w:color="auto"/>
            </w:tcBorders>
            <w:shd w:val="clear" w:color="000000" w:fill="FFFFFF"/>
            <w:noWrap/>
            <w:vAlign w:val="bottom"/>
            <w:hideMark/>
          </w:tcPr>
          <w:p w14:paraId="7640327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488.7</w:t>
            </w:r>
          </w:p>
        </w:tc>
        <w:tc>
          <w:tcPr>
            <w:tcW w:w="1444" w:type="dxa"/>
            <w:tcBorders>
              <w:top w:val="nil"/>
              <w:left w:val="nil"/>
              <w:bottom w:val="single" w:sz="4" w:space="0" w:color="auto"/>
              <w:right w:val="single" w:sz="4" w:space="0" w:color="auto"/>
            </w:tcBorders>
            <w:shd w:val="clear" w:color="000000" w:fill="FFFFFF"/>
            <w:noWrap/>
            <w:vAlign w:val="bottom"/>
            <w:hideMark/>
          </w:tcPr>
          <w:p w14:paraId="17DD5DC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99.4</w:t>
            </w:r>
          </w:p>
        </w:tc>
      </w:tr>
      <w:tr w:rsidR="00B97B6A" w:rsidRPr="00F96EBF" w14:paraId="0D218E8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E0F921D"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Canary Islands</w:t>
            </w:r>
          </w:p>
        </w:tc>
        <w:tc>
          <w:tcPr>
            <w:tcW w:w="865" w:type="dxa"/>
            <w:tcBorders>
              <w:top w:val="nil"/>
              <w:left w:val="nil"/>
              <w:bottom w:val="single" w:sz="4" w:space="0" w:color="auto"/>
              <w:right w:val="single" w:sz="4" w:space="0" w:color="auto"/>
            </w:tcBorders>
            <w:shd w:val="clear" w:color="000000" w:fill="FFFFFF"/>
            <w:noWrap/>
            <w:vAlign w:val="bottom"/>
            <w:hideMark/>
          </w:tcPr>
          <w:p w14:paraId="466533D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483</w:t>
            </w:r>
          </w:p>
        </w:tc>
        <w:tc>
          <w:tcPr>
            <w:tcW w:w="829" w:type="dxa"/>
            <w:tcBorders>
              <w:top w:val="nil"/>
              <w:left w:val="nil"/>
              <w:bottom w:val="single" w:sz="4" w:space="0" w:color="auto"/>
              <w:right w:val="single" w:sz="4" w:space="0" w:color="auto"/>
            </w:tcBorders>
            <w:shd w:val="clear" w:color="000000" w:fill="FFFFFF"/>
            <w:noWrap/>
            <w:vAlign w:val="bottom"/>
            <w:hideMark/>
          </w:tcPr>
          <w:p w14:paraId="33824F4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452</w:t>
            </w:r>
          </w:p>
        </w:tc>
        <w:tc>
          <w:tcPr>
            <w:tcW w:w="852" w:type="dxa"/>
            <w:tcBorders>
              <w:top w:val="nil"/>
              <w:left w:val="nil"/>
              <w:bottom w:val="single" w:sz="4" w:space="0" w:color="auto"/>
              <w:right w:val="single" w:sz="4" w:space="0" w:color="auto"/>
            </w:tcBorders>
            <w:shd w:val="clear" w:color="000000" w:fill="FFFFFF"/>
            <w:noWrap/>
            <w:vAlign w:val="bottom"/>
            <w:hideMark/>
          </w:tcPr>
          <w:p w14:paraId="2928ACB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475</w:t>
            </w:r>
          </w:p>
        </w:tc>
        <w:tc>
          <w:tcPr>
            <w:tcW w:w="823" w:type="dxa"/>
            <w:tcBorders>
              <w:top w:val="nil"/>
              <w:left w:val="nil"/>
              <w:bottom w:val="single" w:sz="4" w:space="0" w:color="auto"/>
              <w:right w:val="single" w:sz="4" w:space="0" w:color="auto"/>
            </w:tcBorders>
            <w:shd w:val="clear" w:color="000000" w:fill="FFFFFF"/>
            <w:noWrap/>
            <w:vAlign w:val="bottom"/>
            <w:hideMark/>
          </w:tcPr>
          <w:p w14:paraId="1876B25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470</w:t>
            </w:r>
          </w:p>
        </w:tc>
        <w:tc>
          <w:tcPr>
            <w:tcW w:w="1444" w:type="dxa"/>
            <w:tcBorders>
              <w:top w:val="nil"/>
              <w:left w:val="nil"/>
              <w:bottom w:val="single" w:sz="4" w:space="0" w:color="auto"/>
              <w:right w:val="single" w:sz="4" w:space="0" w:color="auto"/>
            </w:tcBorders>
            <w:shd w:val="clear" w:color="000000" w:fill="FFFFFF"/>
            <w:noWrap/>
            <w:vAlign w:val="bottom"/>
            <w:hideMark/>
          </w:tcPr>
          <w:p w14:paraId="1CA5510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95.6</w:t>
            </w:r>
          </w:p>
        </w:tc>
      </w:tr>
      <w:tr w:rsidR="00B97B6A" w:rsidRPr="00F96EBF" w14:paraId="0EB60EBA"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B665C03"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Cantabria</w:t>
            </w:r>
          </w:p>
        </w:tc>
        <w:tc>
          <w:tcPr>
            <w:tcW w:w="865" w:type="dxa"/>
            <w:tcBorders>
              <w:top w:val="nil"/>
              <w:left w:val="nil"/>
              <w:bottom w:val="single" w:sz="4" w:space="0" w:color="auto"/>
              <w:right w:val="single" w:sz="4" w:space="0" w:color="auto"/>
            </w:tcBorders>
            <w:shd w:val="clear" w:color="000000" w:fill="FFFFFF"/>
            <w:noWrap/>
            <w:vAlign w:val="bottom"/>
            <w:hideMark/>
          </w:tcPr>
          <w:p w14:paraId="00E4C00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501</w:t>
            </w:r>
          </w:p>
        </w:tc>
        <w:tc>
          <w:tcPr>
            <w:tcW w:w="829" w:type="dxa"/>
            <w:tcBorders>
              <w:top w:val="nil"/>
              <w:left w:val="nil"/>
              <w:bottom w:val="single" w:sz="4" w:space="0" w:color="auto"/>
              <w:right w:val="single" w:sz="4" w:space="0" w:color="auto"/>
            </w:tcBorders>
            <w:shd w:val="clear" w:color="000000" w:fill="FFFFFF"/>
            <w:noWrap/>
            <w:vAlign w:val="bottom"/>
            <w:hideMark/>
          </w:tcPr>
          <w:p w14:paraId="62A867D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495</w:t>
            </w:r>
          </w:p>
        </w:tc>
        <w:tc>
          <w:tcPr>
            <w:tcW w:w="852" w:type="dxa"/>
            <w:tcBorders>
              <w:top w:val="nil"/>
              <w:left w:val="nil"/>
              <w:bottom w:val="single" w:sz="4" w:space="0" w:color="auto"/>
              <w:right w:val="single" w:sz="4" w:space="0" w:color="auto"/>
            </w:tcBorders>
            <w:shd w:val="clear" w:color="000000" w:fill="FFFFFF"/>
            <w:noWrap/>
            <w:vAlign w:val="bottom"/>
            <w:hideMark/>
          </w:tcPr>
          <w:p w14:paraId="71A4C15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496</w:t>
            </w:r>
          </w:p>
        </w:tc>
        <w:tc>
          <w:tcPr>
            <w:tcW w:w="823" w:type="dxa"/>
            <w:tcBorders>
              <w:top w:val="nil"/>
              <w:left w:val="nil"/>
              <w:bottom w:val="single" w:sz="4" w:space="0" w:color="auto"/>
              <w:right w:val="single" w:sz="4" w:space="0" w:color="auto"/>
            </w:tcBorders>
            <w:shd w:val="clear" w:color="000000" w:fill="FFFFFF"/>
            <w:noWrap/>
            <w:vAlign w:val="bottom"/>
            <w:hideMark/>
          </w:tcPr>
          <w:p w14:paraId="589A96F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497.3</w:t>
            </w:r>
          </w:p>
        </w:tc>
        <w:tc>
          <w:tcPr>
            <w:tcW w:w="1444" w:type="dxa"/>
            <w:tcBorders>
              <w:top w:val="nil"/>
              <w:left w:val="nil"/>
              <w:bottom w:val="single" w:sz="4" w:space="0" w:color="auto"/>
              <w:right w:val="single" w:sz="4" w:space="0" w:color="auto"/>
            </w:tcBorders>
            <w:shd w:val="clear" w:color="000000" w:fill="FFFFFF"/>
            <w:noWrap/>
            <w:vAlign w:val="bottom"/>
            <w:hideMark/>
          </w:tcPr>
          <w:p w14:paraId="3D9EC34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101.2</w:t>
            </w:r>
          </w:p>
        </w:tc>
      </w:tr>
      <w:tr w:rsidR="00B97B6A" w:rsidRPr="00F96EBF" w14:paraId="05E4C350"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95FB52E"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 and Leon</w:t>
            </w:r>
          </w:p>
        </w:tc>
        <w:tc>
          <w:tcPr>
            <w:tcW w:w="865" w:type="dxa"/>
            <w:tcBorders>
              <w:top w:val="nil"/>
              <w:left w:val="nil"/>
              <w:bottom w:val="single" w:sz="4" w:space="0" w:color="auto"/>
              <w:right w:val="single" w:sz="4" w:space="0" w:color="auto"/>
            </w:tcBorders>
            <w:shd w:val="clear" w:color="000000" w:fill="FFFFFF"/>
            <w:noWrap/>
            <w:vAlign w:val="bottom"/>
            <w:hideMark/>
          </w:tcPr>
          <w:p w14:paraId="67B6AE1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522</w:t>
            </w:r>
          </w:p>
        </w:tc>
        <w:tc>
          <w:tcPr>
            <w:tcW w:w="829" w:type="dxa"/>
            <w:tcBorders>
              <w:top w:val="nil"/>
              <w:left w:val="nil"/>
              <w:bottom w:val="single" w:sz="4" w:space="0" w:color="auto"/>
              <w:right w:val="single" w:sz="4" w:space="0" w:color="auto"/>
            </w:tcBorders>
            <w:shd w:val="clear" w:color="000000" w:fill="FFFFFF"/>
            <w:noWrap/>
            <w:vAlign w:val="bottom"/>
            <w:hideMark/>
          </w:tcPr>
          <w:p w14:paraId="6641259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506</w:t>
            </w:r>
          </w:p>
        </w:tc>
        <w:tc>
          <w:tcPr>
            <w:tcW w:w="852" w:type="dxa"/>
            <w:tcBorders>
              <w:top w:val="nil"/>
              <w:left w:val="nil"/>
              <w:bottom w:val="single" w:sz="4" w:space="0" w:color="auto"/>
              <w:right w:val="single" w:sz="4" w:space="0" w:color="auto"/>
            </w:tcBorders>
            <w:shd w:val="clear" w:color="000000" w:fill="FFFFFF"/>
            <w:noWrap/>
            <w:vAlign w:val="bottom"/>
            <w:hideMark/>
          </w:tcPr>
          <w:p w14:paraId="6C4BA9AE"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519</w:t>
            </w:r>
          </w:p>
        </w:tc>
        <w:tc>
          <w:tcPr>
            <w:tcW w:w="823" w:type="dxa"/>
            <w:tcBorders>
              <w:top w:val="nil"/>
              <w:left w:val="nil"/>
              <w:bottom w:val="single" w:sz="4" w:space="0" w:color="auto"/>
              <w:right w:val="single" w:sz="4" w:space="0" w:color="auto"/>
            </w:tcBorders>
            <w:shd w:val="clear" w:color="000000" w:fill="FFFFFF"/>
            <w:noWrap/>
            <w:vAlign w:val="bottom"/>
            <w:hideMark/>
          </w:tcPr>
          <w:p w14:paraId="2DB96F4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515.7</w:t>
            </w:r>
          </w:p>
        </w:tc>
        <w:tc>
          <w:tcPr>
            <w:tcW w:w="1444" w:type="dxa"/>
            <w:tcBorders>
              <w:top w:val="nil"/>
              <w:left w:val="nil"/>
              <w:bottom w:val="single" w:sz="4" w:space="0" w:color="auto"/>
              <w:right w:val="single" w:sz="4" w:space="0" w:color="auto"/>
            </w:tcBorders>
            <w:shd w:val="clear" w:color="000000" w:fill="FFFFFF"/>
            <w:noWrap/>
            <w:vAlign w:val="bottom"/>
            <w:hideMark/>
          </w:tcPr>
          <w:p w14:paraId="3DEE9C0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104.9</w:t>
            </w:r>
          </w:p>
        </w:tc>
      </w:tr>
      <w:tr w:rsidR="00B97B6A" w:rsidRPr="00F96EBF" w14:paraId="38DB641A"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42596D3"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Castile-La Mancha</w:t>
            </w:r>
          </w:p>
        </w:tc>
        <w:tc>
          <w:tcPr>
            <w:tcW w:w="865" w:type="dxa"/>
            <w:tcBorders>
              <w:top w:val="nil"/>
              <w:left w:val="nil"/>
              <w:bottom w:val="single" w:sz="4" w:space="0" w:color="auto"/>
              <w:right w:val="single" w:sz="4" w:space="0" w:color="auto"/>
            </w:tcBorders>
            <w:shd w:val="clear" w:color="000000" w:fill="FFFFFF"/>
            <w:noWrap/>
            <w:vAlign w:val="bottom"/>
            <w:hideMark/>
          </w:tcPr>
          <w:p w14:paraId="2117F06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499</w:t>
            </w:r>
          </w:p>
        </w:tc>
        <w:tc>
          <w:tcPr>
            <w:tcW w:w="829" w:type="dxa"/>
            <w:tcBorders>
              <w:top w:val="nil"/>
              <w:left w:val="nil"/>
              <w:bottom w:val="single" w:sz="4" w:space="0" w:color="auto"/>
              <w:right w:val="single" w:sz="4" w:space="0" w:color="auto"/>
            </w:tcBorders>
            <w:shd w:val="clear" w:color="000000" w:fill="FFFFFF"/>
            <w:noWrap/>
            <w:vAlign w:val="bottom"/>
            <w:hideMark/>
          </w:tcPr>
          <w:p w14:paraId="2E6F3BE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486</w:t>
            </w:r>
          </w:p>
        </w:tc>
        <w:tc>
          <w:tcPr>
            <w:tcW w:w="852" w:type="dxa"/>
            <w:tcBorders>
              <w:top w:val="nil"/>
              <w:left w:val="nil"/>
              <w:bottom w:val="single" w:sz="4" w:space="0" w:color="auto"/>
              <w:right w:val="single" w:sz="4" w:space="0" w:color="auto"/>
            </w:tcBorders>
            <w:shd w:val="clear" w:color="000000" w:fill="FFFFFF"/>
            <w:noWrap/>
            <w:vAlign w:val="bottom"/>
            <w:hideMark/>
          </w:tcPr>
          <w:p w14:paraId="7C5A9A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497</w:t>
            </w:r>
          </w:p>
        </w:tc>
        <w:tc>
          <w:tcPr>
            <w:tcW w:w="823" w:type="dxa"/>
            <w:tcBorders>
              <w:top w:val="nil"/>
              <w:left w:val="nil"/>
              <w:bottom w:val="single" w:sz="4" w:space="0" w:color="auto"/>
              <w:right w:val="single" w:sz="4" w:space="0" w:color="auto"/>
            </w:tcBorders>
            <w:shd w:val="clear" w:color="000000" w:fill="FFFFFF"/>
            <w:noWrap/>
            <w:vAlign w:val="bottom"/>
            <w:hideMark/>
          </w:tcPr>
          <w:p w14:paraId="3AEC1BA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494</w:t>
            </w:r>
          </w:p>
        </w:tc>
        <w:tc>
          <w:tcPr>
            <w:tcW w:w="1444" w:type="dxa"/>
            <w:tcBorders>
              <w:top w:val="nil"/>
              <w:left w:val="nil"/>
              <w:bottom w:val="single" w:sz="4" w:space="0" w:color="auto"/>
              <w:right w:val="single" w:sz="4" w:space="0" w:color="auto"/>
            </w:tcBorders>
            <w:shd w:val="clear" w:color="000000" w:fill="FFFFFF"/>
            <w:noWrap/>
            <w:vAlign w:val="bottom"/>
            <w:hideMark/>
          </w:tcPr>
          <w:p w14:paraId="0EED18C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100.5</w:t>
            </w:r>
          </w:p>
        </w:tc>
      </w:tr>
      <w:tr w:rsidR="00B97B6A" w:rsidRPr="00F96EBF" w14:paraId="25AFC3F4"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39C17EE"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Catalonia</w:t>
            </w:r>
          </w:p>
        </w:tc>
        <w:tc>
          <w:tcPr>
            <w:tcW w:w="865" w:type="dxa"/>
            <w:tcBorders>
              <w:top w:val="nil"/>
              <w:left w:val="nil"/>
              <w:bottom w:val="single" w:sz="4" w:space="0" w:color="auto"/>
              <w:right w:val="single" w:sz="4" w:space="0" w:color="auto"/>
            </w:tcBorders>
            <w:shd w:val="clear" w:color="000000" w:fill="FFFFFF"/>
            <w:noWrap/>
            <w:vAlign w:val="bottom"/>
            <w:hideMark/>
          </w:tcPr>
          <w:p w14:paraId="264EE12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500</w:t>
            </w:r>
          </w:p>
        </w:tc>
        <w:tc>
          <w:tcPr>
            <w:tcW w:w="829" w:type="dxa"/>
            <w:tcBorders>
              <w:top w:val="nil"/>
              <w:left w:val="nil"/>
              <w:bottom w:val="single" w:sz="4" w:space="0" w:color="auto"/>
              <w:right w:val="single" w:sz="4" w:space="0" w:color="auto"/>
            </w:tcBorders>
            <w:shd w:val="clear" w:color="000000" w:fill="FFFFFF"/>
            <w:noWrap/>
            <w:vAlign w:val="bottom"/>
            <w:hideMark/>
          </w:tcPr>
          <w:p w14:paraId="3B213B6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500</w:t>
            </w:r>
          </w:p>
        </w:tc>
        <w:tc>
          <w:tcPr>
            <w:tcW w:w="852" w:type="dxa"/>
            <w:tcBorders>
              <w:top w:val="nil"/>
              <w:left w:val="nil"/>
              <w:bottom w:val="single" w:sz="4" w:space="0" w:color="auto"/>
              <w:right w:val="single" w:sz="4" w:space="0" w:color="auto"/>
            </w:tcBorders>
            <w:shd w:val="clear" w:color="000000" w:fill="FFFFFF"/>
            <w:noWrap/>
            <w:vAlign w:val="bottom"/>
            <w:hideMark/>
          </w:tcPr>
          <w:p w14:paraId="04F1109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504</w:t>
            </w:r>
          </w:p>
        </w:tc>
        <w:tc>
          <w:tcPr>
            <w:tcW w:w="823" w:type="dxa"/>
            <w:tcBorders>
              <w:top w:val="nil"/>
              <w:left w:val="nil"/>
              <w:bottom w:val="single" w:sz="4" w:space="0" w:color="auto"/>
              <w:right w:val="single" w:sz="4" w:space="0" w:color="auto"/>
            </w:tcBorders>
            <w:shd w:val="clear" w:color="000000" w:fill="FFFFFF"/>
            <w:noWrap/>
            <w:vAlign w:val="bottom"/>
            <w:hideMark/>
          </w:tcPr>
          <w:p w14:paraId="2F16952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501.3</w:t>
            </w:r>
          </w:p>
        </w:tc>
        <w:tc>
          <w:tcPr>
            <w:tcW w:w="1444" w:type="dxa"/>
            <w:tcBorders>
              <w:top w:val="nil"/>
              <w:left w:val="nil"/>
              <w:bottom w:val="single" w:sz="4" w:space="0" w:color="auto"/>
              <w:right w:val="single" w:sz="4" w:space="0" w:color="auto"/>
            </w:tcBorders>
            <w:shd w:val="clear" w:color="000000" w:fill="FFFFFF"/>
            <w:noWrap/>
            <w:vAlign w:val="bottom"/>
            <w:hideMark/>
          </w:tcPr>
          <w:p w14:paraId="10659FC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102</w:t>
            </w:r>
          </w:p>
        </w:tc>
      </w:tr>
      <w:tr w:rsidR="00B97B6A" w:rsidRPr="00F96EBF" w14:paraId="00F62DE5"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2FD2AA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Extremadura</w:t>
            </w:r>
          </w:p>
        </w:tc>
        <w:tc>
          <w:tcPr>
            <w:tcW w:w="865" w:type="dxa"/>
            <w:tcBorders>
              <w:top w:val="nil"/>
              <w:left w:val="nil"/>
              <w:bottom w:val="single" w:sz="4" w:space="0" w:color="auto"/>
              <w:right w:val="single" w:sz="4" w:space="0" w:color="auto"/>
            </w:tcBorders>
            <w:shd w:val="clear" w:color="000000" w:fill="FFFFFF"/>
            <w:noWrap/>
            <w:vAlign w:val="bottom"/>
            <w:hideMark/>
          </w:tcPr>
          <w:p w14:paraId="255924C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475</w:t>
            </w:r>
          </w:p>
        </w:tc>
        <w:tc>
          <w:tcPr>
            <w:tcW w:w="829" w:type="dxa"/>
            <w:tcBorders>
              <w:top w:val="nil"/>
              <w:left w:val="nil"/>
              <w:bottom w:val="single" w:sz="4" w:space="0" w:color="auto"/>
              <w:right w:val="single" w:sz="4" w:space="0" w:color="auto"/>
            </w:tcBorders>
            <w:shd w:val="clear" w:color="000000" w:fill="FFFFFF"/>
            <w:noWrap/>
            <w:vAlign w:val="bottom"/>
            <w:hideMark/>
          </w:tcPr>
          <w:p w14:paraId="67E59CC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473</w:t>
            </w:r>
          </w:p>
        </w:tc>
        <w:tc>
          <w:tcPr>
            <w:tcW w:w="852" w:type="dxa"/>
            <w:tcBorders>
              <w:top w:val="nil"/>
              <w:left w:val="nil"/>
              <w:bottom w:val="single" w:sz="4" w:space="0" w:color="auto"/>
              <w:right w:val="single" w:sz="4" w:space="0" w:color="auto"/>
            </w:tcBorders>
            <w:shd w:val="clear" w:color="000000" w:fill="FFFFFF"/>
            <w:noWrap/>
            <w:vAlign w:val="bottom"/>
            <w:hideMark/>
          </w:tcPr>
          <w:p w14:paraId="6EBD0D2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474</w:t>
            </w:r>
          </w:p>
        </w:tc>
        <w:tc>
          <w:tcPr>
            <w:tcW w:w="823" w:type="dxa"/>
            <w:tcBorders>
              <w:top w:val="nil"/>
              <w:left w:val="nil"/>
              <w:bottom w:val="single" w:sz="4" w:space="0" w:color="auto"/>
              <w:right w:val="single" w:sz="4" w:space="0" w:color="auto"/>
            </w:tcBorders>
            <w:shd w:val="clear" w:color="000000" w:fill="FFFFFF"/>
            <w:noWrap/>
            <w:vAlign w:val="bottom"/>
            <w:hideMark/>
          </w:tcPr>
          <w:p w14:paraId="65AEA99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474</w:t>
            </w:r>
          </w:p>
        </w:tc>
        <w:tc>
          <w:tcPr>
            <w:tcW w:w="1444" w:type="dxa"/>
            <w:tcBorders>
              <w:top w:val="nil"/>
              <w:left w:val="nil"/>
              <w:bottom w:val="single" w:sz="4" w:space="0" w:color="auto"/>
              <w:right w:val="single" w:sz="4" w:space="0" w:color="auto"/>
            </w:tcBorders>
            <w:shd w:val="clear" w:color="000000" w:fill="FFFFFF"/>
            <w:noWrap/>
            <w:vAlign w:val="bottom"/>
            <w:hideMark/>
          </w:tcPr>
          <w:p w14:paraId="78AC318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96.4</w:t>
            </w:r>
          </w:p>
        </w:tc>
      </w:tr>
      <w:tr w:rsidR="00B97B6A" w:rsidRPr="00F96EBF" w14:paraId="49F8905A"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F4B4FE0"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Galicia</w:t>
            </w:r>
          </w:p>
        </w:tc>
        <w:tc>
          <w:tcPr>
            <w:tcW w:w="865" w:type="dxa"/>
            <w:tcBorders>
              <w:top w:val="nil"/>
              <w:left w:val="nil"/>
              <w:bottom w:val="single" w:sz="4" w:space="0" w:color="auto"/>
              <w:right w:val="single" w:sz="4" w:space="0" w:color="auto"/>
            </w:tcBorders>
            <w:shd w:val="clear" w:color="000000" w:fill="FFFFFF"/>
            <w:noWrap/>
            <w:vAlign w:val="bottom"/>
            <w:hideMark/>
          </w:tcPr>
          <w:p w14:paraId="0744529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509</w:t>
            </w:r>
          </w:p>
        </w:tc>
        <w:tc>
          <w:tcPr>
            <w:tcW w:w="829" w:type="dxa"/>
            <w:tcBorders>
              <w:top w:val="nil"/>
              <w:left w:val="nil"/>
              <w:bottom w:val="single" w:sz="4" w:space="0" w:color="auto"/>
              <w:right w:val="single" w:sz="4" w:space="0" w:color="auto"/>
            </w:tcBorders>
            <w:shd w:val="clear" w:color="000000" w:fill="FFFFFF"/>
            <w:noWrap/>
            <w:vAlign w:val="bottom"/>
            <w:hideMark/>
          </w:tcPr>
          <w:p w14:paraId="632146C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494</w:t>
            </w:r>
          </w:p>
        </w:tc>
        <w:tc>
          <w:tcPr>
            <w:tcW w:w="852" w:type="dxa"/>
            <w:tcBorders>
              <w:top w:val="nil"/>
              <w:left w:val="nil"/>
              <w:bottom w:val="single" w:sz="4" w:space="0" w:color="auto"/>
              <w:right w:val="single" w:sz="4" w:space="0" w:color="auto"/>
            </w:tcBorders>
            <w:shd w:val="clear" w:color="000000" w:fill="FFFFFF"/>
            <w:noWrap/>
            <w:vAlign w:val="bottom"/>
            <w:hideMark/>
          </w:tcPr>
          <w:p w14:paraId="0EA5AEB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512</w:t>
            </w:r>
          </w:p>
        </w:tc>
        <w:tc>
          <w:tcPr>
            <w:tcW w:w="823" w:type="dxa"/>
            <w:tcBorders>
              <w:top w:val="nil"/>
              <w:left w:val="nil"/>
              <w:bottom w:val="single" w:sz="4" w:space="0" w:color="auto"/>
              <w:right w:val="single" w:sz="4" w:space="0" w:color="auto"/>
            </w:tcBorders>
            <w:shd w:val="clear" w:color="000000" w:fill="FFFFFF"/>
            <w:noWrap/>
            <w:vAlign w:val="bottom"/>
            <w:hideMark/>
          </w:tcPr>
          <w:p w14:paraId="052C7B9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505</w:t>
            </w:r>
          </w:p>
        </w:tc>
        <w:tc>
          <w:tcPr>
            <w:tcW w:w="1444" w:type="dxa"/>
            <w:tcBorders>
              <w:top w:val="nil"/>
              <w:left w:val="nil"/>
              <w:bottom w:val="single" w:sz="4" w:space="0" w:color="auto"/>
              <w:right w:val="single" w:sz="4" w:space="0" w:color="auto"/>
            </w:tcBorders>
            <w:shd w:val="clear" w:color="000000" w:fill="FFFFFF"/>
            <w:noWrap/>
            <w:vAlign w:val="bottom"/>
            <w:hideMark/>
          </w:tcPr>
          <w:p w14:paraId="168D68C2"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102.7</w:t>
            </w:r>
          </w:p>
        </w:tc>
      </w:tr>
      <w:tr w:rsidR="00B97B6A" w:rsidRPr="00F96EBF" w14:paraId="0F1D7BB5"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FC6972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Madrid</w:t>
            </w:r>
          </w:p>
        </w:tc>
        <w:tc>
          <w:tcPr>
            <w:tcW w:w="865" w:type="dxa"/>
            <w:tcBorders>
              <w:top w:val="nil"/>
              <w:left w:val="nil"/>
              <w:bottom w:val="single" w:sz="4" w:space="0" w:color="auto"/>
              <w:right w:val="single" w:sz="4" w:space="0" w:color="auto"/>
            </w:tcBorders>
            <w:shd w:val="clear" w:color="000000" w:fill="FFFFFF"/>
            <w:noWrap/>
            <w:vAlign w:val="bottom"/>
            <w:hideMark/>
          </w:tcPr>
          <w:p w14:paraId="60A261F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520</w:t>
            </w:r>
          </w:p>
        </w:tc>
        <w:tc>
          <w:tcPr>
            <w:tcW w:w="829" w:type="dxa"/>
            <w:tcBorders>
              <w:top w:val="nil"/>
              <w:left w:val="nil"/>
              <w:bottom w:val="single" w:sz="4" w:space="0" w:color="auto"/>
              <w:right w:val="single" w:sz="4" w:space="0" w:color="auto"/>
            </w:tcBorders>
            <w:shd w:val="clear" w:color="000000" w:fill="FFFFFF"/>
            <w:noWrap/>
            <w:vAlign w:val="bottom"/>
            <w:hideMark/>
          </w:tcPr>
          <w:p w14:paraId="5094A7D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503</w:t>
            </w:r>
          </w:p>
        </w:tc>
        <w:tc>
          <w:tcPr>
            <w:tcW w:w="852" w:type="dxa"/>
            <w:tcBorders>
              <w:top w:val="nil"/>
              <w:left w:val="nil"/>
              <w:bottom w:val="single" w:sz="4" w:space="0" w:color="auto"/>
              <w:right w:val="single" w:sz="4" w:space="0" w:color="auto"/>
            </w:tcBorders>
            <w:shd w:val="clear" w:color="000000" w:fill="FFFFFF"/>
            <w:noWrap/>
            <w:vAlign w:val="bottom"/>
            <w:hideMark/>
          </w:tcPr>
          <w:p w14:paraId="71F84AB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516</w:t>
            </w:r>
          </w:p>
        </w:tc>
        <w:tc>
          <w:tcPr>
            <w:tcW w:w="823" w:type="dxa"/>
            <w:tcBorders>
              <w:top w:val="nil"/>
              <w:left w:val="nil"/>
              <w:bottom w:val="single" w:sz="4" w:space="0" w:color="auto"/>
              <w:right w:val="single" w:sz="4" w:space="0" w:color="auto"/>
            </w:tcBorders>
            <w:shd w:val="clear" w:color="000000" w:fill="FFFFFF"/>
            <w:noWrap/>
            <w:vAlign w:val="bottom"/>
            <w:hideMark/>
          </w:tcPr>
          <w:p w14:paraId="5D56ECE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513</w:t>
            </w:r>
          </w:p>
        </w:tc>
        <w:tc>
          <w:tcPr>
            <w:tcW w:w="1444" w:type="dxa"/>
            <w:tcBorders>
              <w:top w:val="nil"/>
              <w:left w:val="nil"/>
              <w:bottom w:val="single" w:sz="4" w:space="0" w:color="auto"/>
              <w:right w:val="single" w:sz="4" w:space="0" w:color="auto"/>
            </w:tcBorders>
            <w:shd w:val="clear" w:color="000000" w:fill="FFFFFF"/>
            <w:noWrap/>
            <w:vAlign w:val="bottom"/>
            <w:hideMark/>
          </w:tcPr>
          <w:p w14:paraId="6ACB2A2A"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104.3</w:t>
            </w:r>
          </w:p>
        </w:tc>
      </w:tr>
      <w:tr w:rsidR="00B97B6A" w:rsidRPr="00F96EBF" w14:paraId="5CEC4A5B"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91F7856"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Murcia</w:t>
            </w:r>
          </w:p>
        </w:tc>
        <w:tc>
          <w:tcPr>
            <w:tcW w:w="865" w:type="dxa"/>
            <w:tcBorders>
              <w:top w:val="nil"/>
              <w:left w:val="nil"/>
              <w:bottom w:val="single" w:sz="4" w:space="0" w:color="auto"/>
              <w:right w:val="single" w:sz="4" w:space="0" w:color="auto"/>
            </w:tcBorders>
            <w:shd w:val="clear" w:color="000000" w:fill="FFFFFF"/>
            <w:noWrap/>
            <w:vAlign w:val="bottom"/>
            <w:hideMark/>
          </w:tcPr>
          <w:p w14:paraId="4758742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486</w:t>
            </w:r>
          </w:p>
        </w:tc>
        <w:tc>
          <w:tcPr>
            <w:tcW w:w="829" w:type="dxa"/>
            <w:tcBorders>
              <w:top w:val="nil"/>
              <w:left w:val="nil"/>
              <w:bottom w:val="single" w:sz="4" w:space="0" w:color="auto"/>
              <w:right w:val="single" w:sz="4" w:space="0" w:color="auto"/>
            </w:tcBorders>
            <w:shd w:val="clear" w:color="000000" w:fill="FFFFFF"/>
            <w:noWrap/>
            <w:vAlign w:val="bottom"/>
            <w:hideMark/>
          </w:tcPr>
          <w:p w14:paraId="276DC2C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470</w:t>
            </w:r>
          </w:p>
        </w:tc>
        <w:tc>
          <w:tcPr>
            <w:tcW w:w="852" w:type="dxa"/>
            <w:tcBorders>
              <w:top w:val="nil"/>
              <w:left w:val="nil"/>
              <w:bottom w:val="single" w:sz="4" w:space="0" w:color="auto"/>
              <w:right w:val="single" w:sz="4" w:space="0" w:color="auto"/>
            </w:tcBorders>
            <w:shd w:val="clear" w:color="000000" w:fill="FFFFFF"/>
            <w:noWrap/>
            <w:vAlign w:val="bottom"/>
            <w:hideMark/>
          </w:tcPr>
          <w:p w14:paraId="38D643BB"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484</w:t>
            </w:r>
          </w:p>
        </w:tc>
        <w:tc>
          <w:tcPr>
            <w:tcW w:w="823" w:type="dxa"/>
            <w:tcBorders>
              <w:top w:val="nil"/>
              <w:left w:val="nil"/>
              <w:bottom w:val="single" w:sz="4" w:space="0" w:color="auto"/>
              <w:right w:val="single" w:sz="4" w:space="0" w:color="auto"/>
            </w:tcBorders>
            <w:shd w:val="clear" w:color="000000" w:fill="FFFFFF"/>
            <w:noWrap/>
            <w:vAlign w:val="bottom"/>
            <w:hideMark/>
          </w:tcPr>
          <w:p w14:paraId="0EF124F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480</w:t>
            </w:r>
          </w:p>
        </w:tc>
        <w:tc>
          <w:tcPr>
            <w:tcW w:w="1444" w:type="dxa"/>
            <w:tcBorders>
              <w:top w:val="nil"/>
              <w:left w:val="nil"/>
              <w:bottom w:val="single" w:sz="4" w:space="0" w:color="auto"/>
              <w:right w:val="single" w:sz="4" w:space="0" w:color="auto"/>
            </w:tcBorders>
            <w:shd w:val="clear" w:color="000000" w:fill="FFFFFF"/>
            <w:noWrap/>
            <w:vAlign w:val="bottom"/>
            <w:hideMark/>
          </w:tcPr>
          <w:p w14:paraId="5422FA6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97.6</w:t>
            </w:r>
          </w:p>
        </w:tc>
      </w:tr>
      <w:tr w:rsidR="00B97B6A" w:rsidRPr="00F96EBF" w14:paraId="18633C91"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6FED6D35"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Navarre</w:t>
            </w:r>
          </w:p>
        </w:tc>
        <w:tc>
          <w:tcPr>
            <w:tcW w:w="865" w:type="dxa"/>
            <w:tcBorders>
              <w:top w:val="nil"/>
              <w:left w:val="nil"/>
              <w:bottom w:val="single" w:sz="4" w:space="0" w:color="auto"/>
              <w:right w:val="single" w:sz="4" w:space="0" w:color="auto"/>
            </w:tcBorders>
            <w:shd w:val="clear" w:color="000000" w:fill="FFFFFF"/>
            <w:noWrap/>
            <w:vAlign w:val="bottom"/>
            <w:hideMark/>
          </w:tcPr>
          <w:p w14:paraId="0283768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514</w:t>
            </w:r>
          </w:p>
        </w:tc>
        <w:tc>
          <w:tcPr>
            <w:tcW w:w="829" w:type="dxa"/>
            <w:tcBorders>
              <w:top w:val="nil"/>
              <w:left w:val="nil"/>
              <w:bottom w:val="single" w:sz="4" w:space="0" w:color="auto"/>
              <w:right w:val="single" w:sz="4" w:space="0" w:color="auto"/>
            </w:tcBorders>
            <w:shd w:val="clear" w:color="000000" w:fill="FFFFFF"/>
            <w:noWrap/>
            <w:vAlign w:val="bottom"/>
            <w:hideMark/>
          </w:tcPr>
          <w:p w14:paraId="0866DEA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518</w:t>
            </w:r>
          </w:p>
        </w:tc>
        <w:tc>
          <w:tcPr>
            <w:tcW w:w="852" w:type="dxa"/>
            <w:tcBorders>
              <w:top w:val="nil"/>
              <w:left w:val="nil"/>
              <w:bottom w:val="single" w:sz="4" w:space="0" w:color="auto"/>
              <w:right w:val="single" w:sz="4" w:space="0" w:color="auto"/>
            </w:tcBorders>
            <w:shd w:val="clear" w:color="000000" w:fill="FFFFFF"/>
            <w:noWrap/>
            <w:vAlign w:val="bottom"/>
            <w:hideMark/>
          </w:tcPr>
          <w:p w14:paraId="6D787CB1"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512</w:t>
            </w:r>
          </w:p>
        </w:tc>
        <w:tc>
          <w:tcPr>
            <w:tcW w:w="823" w:type="dxa"/>
            <w:tcBorders>
              <w:top w:val="nil"/>
              <w:left w:val="nil"/>
              <w:bottom w:val="single" w:sz="4" w:space="0" w:color="auto"/>
              <w:right w:val="single" w:sz="4" w:space="0" w:color="auto"/>
            </w:tcBorders>
            <w:shd w:val="clear" w:color="000000" w:fill="FFFFFF"/>
            <w:noWrap/>
            <w:vAlign w:val="bottom"/>
            <w:hideMark/>
          </w:tcPr>
          <w:p w14:paraId="425482D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514.7</w:t>
            </w:r>
          </w:p>
        </w:tc>
        <w:tc>
          <w:tcPr>
            <w:tcW w:w="1444" w:type="dxa"/>
            <w:tcBorders>
              <w:top w:val="nil"/>
              <w:left w:val="nil"/>
              <w:bottom w:val="single" w:sz="4" w:space="0" w:color="auto"/>
              <w:right w:val="single" w:sz="4" w:space="0" w:color="auto"/>
            </w:tcBorders>
            <w:shd w:val="clear" w:color="000000" w:fill="FFFFFF"/>
            <w:noWrap/>
            <w:vAlign w:val="bottom"/>
            <w:hideMark/>
          </w:tcPr>
          <w:p w14:paraId="3F2C0FB4"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104.7</w:t>
            </w:r>
          </w:p>
        </w:tc>
      </w:tr>
      <w:tr w:rsidR="00B97B6A" w:rsidRPr="00F96EBF" w14:paraId="3A5B022B"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21747CA"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La Rioja</w:t>
            </w:r>
          </w:p>
        </w:tc>
        <w:tc>
          <w:tcPr>
            <w:tcW w:w="865" w:type="dxa"/>
            <w:tcBorders>
              <w:top w:val="nil"/>
              <w:left w:val="nil"/>
              <w:bottom w:val="single" w:sz="4" w:space="0" w:color="auto"/>
              <w:right w:val="single" w:sz="4" w:space="0" w:color="auto"/>
            </w:tcBorders>
            <w:shd w:val="clear" w:color="000000" w:fill="FFFFFF"/>
            <w:noWrap/>
            <w:vAlign w:val="bottom"/>
            <w:hideMark/>
          </w:tcPr>
          <w:p w14:paraId="4229E44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491</w:t>
            </w:r>
          </w:p>
        </w:tc>
        <w:tc>
          <w:tcPr>
            <w:tcW w:w="829" w:type="dxa"/>
            <w:tcBorders>
              <w:top w:val="nil"/>
              <w:left w:val="nil"/>
              <w:bottom w:val="single" w:sz="4" w:space="0" w:color="auto"/>
              <w:right w:val="single" w:sz="4" w:space="0" w:color="auto"/>
            </w:tcBorders>
            <w:shd w:val="clear" w:color="000000" w:fill="FFFFFF"/>
            <w:noWrap/>
            <w:vAlign w:val="bottom"/>
            <w:hideMark/>
          </w:tcPr>
          <w:p w14:paraId="5C28489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505</w:t>
            </w:r>
          </w:p>
        </w:tc>
        <w:tc>
          <w:tcPr>
            <w:tcW w:w="852" w:type="dxa"/>
            <w:tcBorders>
              <w:top w:val="nil"/>
              <w:left w:val="nil"/>
              <w:bottom w:val="single" w:sz="4" w:space="0" w:color="auto"/>
              <w:right w:val="single" w:sz="4" w:space="0" w:color="auto"/>
            </w:tcBorders>
            <w:shd w:val="clear" w:color="000000" w:fill="FFFFFF"/>
            <w:noWrap/>
            <w:vAlign w:val="bottom"/>
            <w:hideMark/>
          </w:tcPr>
          <w:p w14:paraId="1075DB4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498</w:t>
            </w:r>
          </w:p>
        </w:tc>
        <w:tc>
          <w:tcPr>
            <w:tcW w:w="823" w:type="dxa"/>
            <w:tcBorders>
              <w:top w:val="nil"/>
              <w:left w:val="nil"/>
              <w:bottom w:val="single" w:sz="4" w:space="0" w:color="auto"/>
              <w:right w:val="single" w:sz="4" w:space="0" w:color="auto"/>
            </w:tcBorders>
            <w:shd w:val="clear" w:color="000000" w:fill="FFFFFF"/>
            <w:noWrap/>
            <w:vAlign w:val="bottom"/>
            <w:hideMark/>
          </w:tcPr>
          <w:p w14:paraId="146996B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498</w:t>
            </w:r>
          </w:p>
        </w:tc>
        <w:tc>
          <w:tcPr>
            <w:tcW w:w="1444" w:type="dxa"/>
            <w:tcBorders>
              <w:top w:val="nil"/>
              <w:left w:val="nil"/>
              <w:bottom w:val="single" w:sz="4" w:space="0" w:color="auto"/>
              <w:right w:val="single" w:sz="4" w:space="0" w:color="auto"/>
            </w:tcBorders>
            <w:shd w:val="clear" w:color="000000" w:fill="FFFFFF"/>
            <w:noWrap/>
            <w:vAlign w:val="bottom"/>
            <w:hideMark/>
          </w:tcPr>
          <w:p w14:paraId="31C70015"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101.3</w:t>
            </w:r>
          </w:p>
        </w:tc>
      </w:tr>
      <w:tr w:rsidR="00B97B6A" w:rsidRPr="00F96EBF" w14:paraId="3A717B7C"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06EEB9C"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Valencian Community</w:t>
            </w:r>
          </w:p>
        </w:tc>
        <w:tc>
          <w:tcPr>
            <w:tcW w:w="865" w:type="dxa"/>
            <w:tcBorders>
              <w:top w:val="nil"/>
              <w:left w:val="nil"/>
              <w:bottom w:val="single" w:sz="4" w:space="0" w:color="auto"/>
              <w:right w:val="single" w:sz="4" w:space="0" w:color="auto"/>
            </w:tcBorders>
            <w:shd w:val="clear" w:color="000000" w:fill="FFFFFF"/>
            <w:noWrap/>
            <w:vAlign w:val="bottom"/>
            <w:hideMark/>
          </w:tcPr>
          <w:p w14:paraId="4A519E28"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499</w:t>
            </w:r>
          </w:p>
        </w:tc>
        <w:tc>
          <w:tcPr>
            <w:tcW w:w="829" w:type="dxa"/>
            <w:tcBorders>
              <w:top w:val="nil"/>
              <w:left w:val="nil"/>
              <w:bottom w:val="single" w:sz="4" w:space="0" w:color="auto"/>
              <w:right w:val="single" w:sz="4" w:space="0" w:color="auto"/>
            </w:tcBorders>
            <w:shd w:val="clear" w:color="000000" w:fill="FFFFFF"/>
            <w:noWrap/>
            <w:vAlign w:val="bottom"/>
            <w:hideMark/>
          </w:tcPr>
          <w:p w14:paraId="382D403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485</w:t>
            </w:r>
          </w:p>
        </w:tc>
        <w:tc>
          <w:tcPr>
            <w:tcW w:w="852" w:type="dxa"/>
            <w:tcBorders>
              <w:top w:val="nil"/>
              <w:left w:val="nil"/>
              <w:bottom w:val="single" w:sz="4" w:space="0" w:color="auto"/>
              <w:right w:val="single" w:sz="4" w:space="0" w:color="auto"/>
            </w:tcBorders>
            <w:shd w:val="clear" w:color="000000" w:fill="FFFFFF"/>
            <w:noWrap/>
            <w:vAlign w:val="bottom"/>
            <w:hideMark/>
          </w:tcPr>
          <w:p w14:paraId="3B0670F3"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494</w:t>
            </w:r>
          </w:p>
        </w:tc>
        <w:tc>
          <w:tcPr>
            <w:tcW w:w="823" w:type="dxa"/>
            <w:tcBorders>
              <w:top w:val="nil"/>
              <w:left w:val="nil"/>
              <w:bottom w:val="single" w:sz="4" w:space="0" w:color="auto"/>
              <w:right w:val="single" w:sz="4" w:space="0" w:color="auto"/>
            </w:tcBorders>
            <w:shd w:val="clear" w:color="000000" w:fill="FFFFFF"/>
            <w:noWrap/>
            <w:vAlign w:val="bottom"/>
            <w:hideMark/>
          </w:tcPr>
          <w:p w14:paraId="0127FFBC"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492.7</w:t>
            </w:r>
          </w:p>
        </w:tc>
        <w:tc>
          <w:tcPr>
            <w:tcW w:w="1444" w:type="dxa"/>
            <w:tcBorders>
              <w:top w:val="nil"/>
              <w:left w:val="nil"/>
              <w:bottom w:val="single" w:sz="4" w:space="0" w:color="auto"/>
              <w:right w:val="single" w:sz="4" w:space="0" w:color="auto"/>
            </w:tcBorders>
            <w:shd w:val="clear" w:color="000000" w:fill="FFFFFF"/>
            <w:noWrap/>
            <w:vAlign w:val="bottom"/>
            <w:hideMark/>
          </w:tcPr>
          <w:p w14:paraId="768A8086"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100.2</w:t>
            </w:r>
          </w:p>
        </w:tc>
      </w:tr>
      <w:tr w:rsidR="00B97B6A" w:rsidRPr="00F96EBF" w14:paraId="567C7073" w14:textId="77777777" w:rsidTr="001A72F4">
        <w:trPr>
          <w:trHeight w:val="227"/>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E9B0B28" w14:textId="77777777" w:rsidR="00310E38" w:rsidRPr="00F96EBF" w:rsidRDefault="00310E38" w:rsidP="006D08A5">
            <w:pPr>
              <w:keepNext/>
              <w:keepLines/>
              <w:rPr>
                <w:bCs/>
                <w:color w:val="000000" w:themeColor="text1"/>
                <w:sz w:val="20"/>
                <w:szCs w:val="20"/>
                <w:lang w:val="en-GB"/>
              </w:rPr>
            </w:pPr>
            <w:r w:rsidRPr="00F96EBF">
              <w:rPr>
                <w:bCs/>
                <w:color w:val="000000" w:themeColor="text1"/>
                <w:sz w:val="20"/>
                <w:szCs w:val="20"/>
                <w:lang w:val="en-GB"/>
              </w:rPr>
              <w:t>Spain</w:t>
            </w:r>
          </w:p>
        </w:tc>
        <w:tc>
          <w:tcPr>
            <w:tcW w:w="865" w:type="dxa"/>
            <w:tcBorders>
              <w:top w:val="nil"/>
              <w:left w:val="nil"/>
              <w:bottom w:val="single" w:sz="4" w:space="0" w:color="auto"/>
              <w:right w:val="single" w:sz="4" w:space="0" w:color="auto"/>
            </w:tcBorders>
            <w:shd w:val="clear" w:color="000000" w:fill="FFFFFF"/>
            <w:noWrap/>
            <w:vAlign w:val="bottom"/>
            <w:hideMark/>
          </w:tcPr>
          <w:p w14:paraId="0D07BF79"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496</w:t>
            </w:r>
          </w:p>
        </w:tc>
        <w:tc>
          <w:tcPr>
            <w:tcW w:w="829" w:type="dxa"/>
            <w:tcBorders>
              <w:top w:val="nil"/>
              <w:left w:val="nil"/>
              <w:bottom w:val="single" w:sz="4" w:space="0" w:color="auto"/>
              <w:right w:val="single" w:sz="4" w:space="0" w:color="auto"/>
            </w:tcBorders>
            <w:shd w:val="clear" w:color="000000" w:fill="FFFFFF"/>
            <w:noWrap/>
            <w:vAlign w:val="bottom"/>
            <w:hideMark/>
          </w:tcPr>
          <w:p w14:paraId="7D49326F"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486</w:t>
            </w:r>
          </w:p>
        </w:tc>
        <w:tc>
          <w:tcPr>
            <w:tcW w:w="852" w:type="dxa"/>
            <w:tcBorders>
              <w:top w:val="nil"/>
              <w:left w:val="nil"/>
              <w:bottom w:val="single" w:sz="4" w:space="0" w:color="auto"/>
              <w:right w:val="single" w:sz="4" w:space="0" w:color="auto"/>
            </w:tcBorders>
            <w:shd w:val="clear" w:color="000000" w:fill="FFFFFF"/>
            <w:noWrap/>
            <w:vAlign w:val="bottom"/>
            <w:hideMark/>
          </w:tcPr>
          <w:p w14:paraId="7C20D657"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493</w:t>
            </w:r>
          </w:p>
        </w:tc>
        <w:tc>
          <w:tcPr>
            <w:tcW w:w="823" w:type="dxa"/>
            <w:tcBorders>
              <w:top w:val="nil"/>
              <w:left w:val="nil"/>
              <w:bottom w:val="single" w:sz="4" w:space="0" w:color="auto"/>
              <w:right w:val="single" w:sz="4" w:space="0" w:color="auto"/>
            </w:tcBorders>
            <w:shd w:val="clear" w:color="000000" w:fill="FFFFFF"/>
            <w:noWrap/>
            <w:vAlign w:val="bottom"/>
            <w:hideMark/>
          </w:tcPr>
          <w:p w14:paraId="12CBB7E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491.7</w:t>
            </w:r>
          </w:p>
        </w:tc>
        <w:tc>
          <w:tcPr>
            <w:tcW w:w="1444" w:type="dxa"/>
            <w:tcBorders>
              <w:top w:val="nil"/>
              <w:left w:val="nil"/>
              <w:bottom w:val="single" w:sz="4" w:space="0" w:color="auto"/>
              <w:right w:val="single" w:sz="4" w:space="0" w:color="auto"/>
            </w:tcBorders>
            <w:shd w:val="clear" w:color="000000" w:fill="FFFFFF"/>
            <w:noWrap/>
            <w:vAlign w:val="bottom"/>
            <w:hideMark/>
          </w:tcPr>
          <w:p w14:paraId="2C5BBD5D" w14:textId="77777777" w:rsidR="00310E38" w:rsidRPr="00F96EBF" w:rsidRDefault="00310E38" w:rsidP="00A4130E">
            <w:pPr>
              <w:keepNext/>
              <w:keepLines/>
              <w:jc w:val="center"/>
              <w:rPr>
                <w:color w:val="000000" w:themeColor="text1"/>
                <w:sz w:val="20"/>
                <w:szCs w:val="20"/>
                <w:lang w:val="en-GB"/>
              </w:rPr>
            </w:pPr>
            <w:r w:rsidRPr="00F96EBF">
              <w:rPr>
                <w:color w:val="000000" w:themeColor="text1"/>
                <w:sz w:val="20"/>
                <w:szCs w:val="20"/>
                <w:lang w:val="en-GB"/>
              </w:rPr>
              <w:t>100</w:t>
            </w:r>
          </w:p>
        </w:tc>
      </w:tr>
    </w:tbl>
    <w:p w14:paraId="0562AF51" w14:textId="61405FC8" w:rsidR="00310E38" w:rsidRPr="00F96EBF" w:rsidRDefault="00F26374" w:rsidP="006D08A5">
      <w:pPr>
        <w:rPr>
          <w:color w:val="000000" w:themeColor="text1"/>
          <w:sz w:val="22"/>
          <w:szCs w:val="22"/>
          <w:lang w:val="en-GB"/>
        </w:rPr>
      </w:pPr>
      <w:r w:rsidRPr="00813E8F">
        <w:rPr>
          <w:iCs/>
          <w:color w:val="000000" w:themeColor="text1"/>
          <w:sz w:val="22"/>
          <w:szCs w:val="22"/>
          <w:lang w:val="en-GB"/>
        </w:rPr>
        <w:t>Source:</w:t>
      </w:r>
      <w:r w:rsidRPr="00813E8F">
        <w:rPr>
          <w:i/>
          <w:color w:val="000000" w:themeColor="text1"/>
          <w:sz w:val="22"/>
          <w:szCs w:val="22"/>
          <w:lang w:val="en-GB"/>
        </w:rPr>
        <w:t xml:space="preserve"> </w:t>
      </w:r>
      <w:r w:rsidR="00EA17FE" w:rsidRPr="00813E8F">
        <w:rPr>
          <w:color w:val="000000" w:themeColor="text1"/>
          <w:sz w:val="22"/>
          <w:szCs w:val="22"/>
          <w:lang w:val="en-GB"/>
        </w:rPr>
        <w:t xml:space="preserve">Table constructed by authors using </w:t>
      </w:r>
      <w:r w:rsidR="00EA17FE" w:rsidRPr="00F96EBF">
        <w:rPr>
          <w:color w:val="000000" w:themeColor="text1"/>
          <w:sz w:val="22"/>
          <w:szCs w:val="22"/>
          <w:lang w:val="en-GB"/>
        </w:rPr>
        <w:t xml:space="preserve">data from </w:t>
      </w:r>
      <w:proofErr w:type="spellStart"/>
      <w:r w:rsidR="007D73CD" w:rsidRPr="00EA17FE">
        <w:rPr>
          <w:color w:val="000000" w:themeColor="text1"/>
          <w:sz w:val="22"/>
          <w:szCs w:val="22"/>
          <w:lang w:val="en-GB"/>
        </w:rPr>
        <w:t>Ministerio</w:t>
      </w:r>
      <w:proofErr w:type="spellEnd"/>
      <w:r w:rsidR="007D73CD" w:rsidRPr="00EA17FE">
        <w:rPr>
          <w:color w:val="000000" w:themeColor="text1"/>
          <w:sz w:val="22"/>
          <w:szCs w:val="22"/>
          <w:lang w:val="en-GB"/>
        </w:rPr>
        <w:t xml:space="preserve"> de </w:t>
      </w:r>
      <w:proofErr w:type="spellStart"/>
      <w:r w:rsidR="007D73CD" w:rsidRPr="00EA17FE">
        <w:rPr>
          <w:color w:val="000000" w:themeColor="text1"/>
          <w:sz w:val="22"/>
          <w:szCs w:val="22"/>
          <w:lang w:val="en-GB"/>
        </w:rPr>
        <w:t>Educación</w:t>
      </w:r>
      <w:proofErr w:type="spellEnd"/>
      <w:r w:rsidR="007D73CD">
        <w:rPr>
          <w:color w:val="000000" w:themeColor="text1"/>
          <w:sz w:val="22"/>
          <w:szCs w:val="22"/>
          <w:lang w:val="en-GB"/>
        </w:rPr>
        <w:t xml:space="preserve"> y </w:t>
      </w:r>
      <w:proofErr w:type="spellStart"/>
      <w:r w:rsidR="007D73CD">
        <w:rPr>
          <w:color w:val="000000" w:themeColor="text1"/>
          <w:sz w:val="22"/>
          <w:szCs w:val="22"/>
          <w:lang w:val="en-GB"/>
        </w:rPr>
        <w:t>Formación</w:t>
      </w:r>
      <w:proofErr w:type="spellEnd"/>
      <w:r w:rsidR="007D73CD">
        <w:rPr>
          <w:color w:val="000000" w:themeColor="text1"/>
          <w:sz w:val="22"/>
          <w:szCs w:val="22"/>
          <w:lang w:val="en-GB"/>
        </w:rPr>
        <w:t xml:space="preserve"> </w:t>
      </w:r>
      <w:proofErr w:type="spellStart"/>
      <w:r w:rsidR="007D73CD">
        <w:rPr>
          <w:color w:val="000000" w:themeColor="text1"/>
          <w:sz w:val="22"/>
          <w:szCs w:val="22"/>
          <w:lang w:val="en-GB"/>
        </w:rPr>
        <w:t>Profesional</w:t>
      </w:r>
      <w:proofErr w:type="spellEnd"/>
      <w:r w:rsidR="00E22051">
        <w:rPr>
          <w:color w:val="000000" w:themeColor="text1"/>
          <w:sz w:val="22"/>
          <w:szCs w:val="22"/>
          <w:lang w:val="en-GB"/>
        </w:rPr>
        <w:t xml:space="preserve"> (2019)</w:t>
      </w:r>
    </w:p>
    <w:p w14:paraId="4FA3646E" w14:textId="77777777" w:rsidR="006677FD" w:rsidRPr="00F96EBF" w:rsidRDefault="006677FD" w:rsidP="006D08A5">
      <w:pPr>
        <w:rPr>
          <w:color w:val="000000" w:themeColor="text1"/>
          <w:lang w:val="en-GB"/>
        </w:rPr>
      </w:pPr>
    </w:p>
    <w:p w14:paraId="1AF91701" w14:textId="77777777" w:rsidR="00A95EB3" w:rsidRPr="00F96EBF" w:rsidRDefault="00A95EB3">
      <w:pPr>
        <w:rPr>
          <w:color w:val="000000" w:themeColor="text1"/>
          <w:lang w:val="en-GB"/>
        </w:rPr>
      </w:pPr>
    </w:p>
    <w:sectPr w:rsidR="00A95EB3" w:rsidRPr="00F96EBF" w:rsidSect="00DD76C2">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D8BF" w14:textId="77777777" w:rsidR="002D4B22" w:rsidRDefault="002D4B22" w:rsidP="00E058B0">
      <w:r>
        <w:separator/>
      </w:r>
    </w:p>
  </w:endnote>
  <w:endnote w:type="continuationSeparator" w:id="0">
    <w:p w14:paraId="5B5B9686" w14:textId="77777777" w:rsidR="002D4B22" w:rsidRDefault="002D4B22" w:rsidP="00E0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7483"/>
      <w:docPartObj>
        <w:docPartGallery w:val="Page Numbers (Bottom of Page)"/>
        <w:docPartUnique/>
      </w:docPartObj>
    </w:sdtPr>
    <w:sdtEndPr/>
    <w:sdtContent>
      <w:p w14:paraId="7066F57E" w14:textId="36578B05" w:rsidR="006635E3" w:rsidRDefault="006635E3">
        <w:pPr>
          <w:pStyle w:val="Piedepgina"/>
          <w:jc w:val="center"/>
        </w:pPr>
        <w:r>
          <w:fldChar w:fldCharType="begin"/>
        </w:r>
        <w:r>
          <w:instrText>PAGE   \* MERGEFORMAT</w:instrText>
        </w:r>
        <w:r>
          <w:fldChar w:fldCharType="separate"/>
        </w:r>
        <w:r w:rsidR="000F4309" w:rsidRPr="000F4309">
          <w:rPr>
            <w:noProof/>
            <w:lang w:val="es-ES"/>
          </w:rPr>
          <w:t>16</w:t>
        </w:r>
        <w:r>
          <w:fldChar w:fldCharType="end"/>
        </w:r>
      </w:p>
    </w:sdtContent>
  </w:sdt>
  <w:p w14:paraId="38E4C6F4" w14:textId="77777777" w:rsidR="006635E3" w:rsidRDefault="006635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0036" w14:textId="77777777" w:rsidR="002D4B22" w:rsidRDefault="002D4B22" w:rsidP="00E058B0">
      <w:r>
        <w:separator/>
      </w:r>
    </w:p>
  </w:footnote>
  <w:footnote w:type="continuationSeparator" w:id="0">
    <w:p w14:paraId="70D5E71E" w14:textId="77777777" w:rsidR="002D4B22" w:rsidRDefault="002D4B22" w:rsidP="00E0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212E266"/>
    <w:lvl w:ilvl="0">
      <w:start w:val="1"/>
      <w:numFmt w:val="decimal"/>
      <w:pStyle w:val="Listaconnmeros2"/>
      <w:lvlText w:val="%1."/>
      <w:lvlJc w:val="left"/>
      <w:pPr>
        <w:tabs>
          <w:tab w:val="num" w:pos="643"/>
        </w:tabs>
        <w:ind w:left="643" w:hanging="360"/>
      </w:pPr>
    </w:lvl>
  </w:abstractNum>
  <w:abstractNum w:abstractNumId="1" w15:restartNumberingAfterBreak="0">
    <w:nsid w:val="1ADE5C5D"/>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36769A"/>
    <w:multiLevelType w:val="hybridMultilevel"/>
    <w:tmpl w:val="98C68798"/>
    <w:lvl w:ilvl="0" w:tplc="0D2CAC8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D6B0A"/>
    <w:multiLevelType w:val="multilevel"/>
    <w:tmpl w:val="291A58D6"/>
    <w:lvl w:ilvl="0">
      <w:start w:val="1"/>
      <w:numFmt w:val="decimal"/>
      <w:pStyle w:val="Epgrafe1"/>
      <w:lvlText w:val="%1."/>
      <w:lvlJc w:val="left"/>
      <w:pPr>
        <w:ind w:left="720" w:hanging="360"/>
      </w:pPr>
      <w:rPr>
        <w:rFonts w:ascii="Times New Roman" w:hAnsi="Times New Roman" w:hint="default"/>
        <w:b/>
        <w:bCs/>
        <w:i w:val="0"/>
        <w:iCs w:val="0"/>
        <w:sz w:val="26"/>
        <w:szCs w:val="26"/>
      </w:rPr>
    </w:lvl>
    <w:lvl w:ilvl="1">
      <w:start w:val="1"/>
      <w:numFmt w:val="decimal"/>
      <w:lvlText w:val="%1.%2."/>
      <w:lvlJc w:val="left"/>
      <w:pPr>
        <w:ind w:left="1152" w:hanging="432"/>
      </w:pPr>
      <w:rPr>
        <w:rFonts w:ascii="Times New Roman" w:hAnsi="Times New Roman" w:hint="default"/>
        <w:b/>
        <w:bCs/>
        <w:i w:val="0"/>
        <w:iCs w:val="0"/>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3330646A"/>
    <w:multiLevelType w:val="multilevel"/>
    <w:tmpl w:val="C3D08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266D7"/>
    <w:multiLevelType w:val="multilevel"/>
    <w:tmpl w:val="FD9257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A361F0"/>
    <w:multiLevelType w:val="multilevel"/>
    <w:tmpl w:val="07742E86"/>
    <w:lvl w:ilvl="0">
      <w:start w:val="1"/>
      <w:numFmt w:val="decimal"/>
      <w:lvlText w:val="%1."/>
      <w:lvlJc w:val="left"/>
      <w:pPr>
        <w:ind w:left="927" w:hanging="360"/>
      </w:pPr>
      <w:rPr>
        <w:rFonts w:hint="default"/>
      </w:rPr>
    </w:lvl>
    <w:lvl w:ilvl="1">
      <w:start w:val="1"/>
      <w:numFmt w:val="bullet"/>
      <w:lvlText w:val=""/>
      <w:lvlJc w:val="left"/>
      <w:pPr>
        <w:ind w:left="1359" w:hanging="432"/>
      </w:pPr>
      <w:rPr>
        <w:rFonts w:ascii="Wingdings" w:hAnsi="Wingding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7" w15:restartNumberingAfterBreak="0">
    <w:nsid w:val="3C5D0C07"/>
    <w:multiLevelType w:val="hybridMultilevel"/>
    <w:tmpl w:val="537073FC"/>
    <w:lvl w:ilvl="0" w:tplc="D032C692">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B1813"/>
    <w:multiLevelType w:val="multilevel"/>
    <w:tmpl w:val="3F0E7782"/>
    <w:lvl w:ilvl="0">
      <w:start w:val="1"/>
      <w:numFmt w:val="decimal"/>
      <w:suff w:val="space"/>
      <w:lvlText w:val="Capítulo %1"/>
      <w:lvlJc w:val="left"/>
      <w:pPr>
        <w:ind w:left="0" w:firstLine="0"/>
      </w:pPr>
      <w:rPr>
        <w:rFonts w:asciiTheme="majorHAnsi" w:hAnsiTheme="majorHAnsi" w:hint="default"/>
        <w:b/>
        <w:bCs/>
        <w:i w:val="0"/>
        <w:iCs w:val="0"/>
        <w:color w:val="auto"/>
        <w:sz w:val="56"/>
        <w:szCs w:val="56"/>
        <w:u w:val="none"/>
      </w:rPr>
    </w:lvl>
    <w:lvl w:ilvl="1">
      <w:start w:val="1"/>
      <w:numFmt w:val="decimal"/>
      <w:suff w:val="nothing"/>
      <w:lvlText w:val="%1.%2.  "/>
      <w:lvlJc w:val="left"/>
      <w:pPr>
        <w:ind w:left="0" w:firstLine="0"/>
      </w:pPr>
      <w:rPr>
        <w:rFonts w:asciiTheme="majorHAnsi" w:hAnsiTheme="majorHAnsi" w:hint="default"/>
        <w:b/>
        <w:bCs/>
        <w:i w:val="0"/>
        <w:iCs w:val="0"/>
        <w:color w:val="auto"/>
        <w:sz w:val="26"/>
        <w:szCs w:val="26"/>
        <w:u w:val="none"/>
      </w:rPr>
    </w:lvl>
    <w:lvl w:ilvl="2">
      <w:start w:val="1"/>
      <w:numFmt w:val="decimal"/>
      <w:suff w:val="nothing"/>
      <w:lvlText w:val="%1.%2.%3.  "/>
      <w:lvlJc w:val="left"/>
      <w:pPr>
        <w:ind w:left="0" w:firstLine="567"/>
      </w:pPr>
      <w:rPr>
        <w:rFonts w:asciiTheme="majorHAnsi" w:hAnsiTheme="majorHAnsi" w:hint="default"/>
        <w:b/>
        <w:bCs/>
        <w:i w:val="0"/>
        <w:iCs w:val="0"/>
        <w:color w:val="000000" w:themeColor="text1"/>
        <w:position w:val="0"/>
        <w:sz w:val="26"/>
        <w:szCs w:val="26"/>
        <w:u w:val="none"/>
      </w:rPr>
    </w:lvl>
    <w:lvl w:ilvl="3">
      <w:start w:val="1"/>
      <w:numFmt w:val="decimal"/>
      <w:suff w:val="nothing"/>
      <w:lvlText w:val="%1.%2.%3.%4.  "/>
      <w:lvlJc w:val="left"/>
      <w:pPr>
        <w:ind w:left="0" w:firstLine="1134"/>
      </w:pPr>
      <w:rPr>
        <w:rFonts w:asciiTheme="majorHAnsi" w:hAnsiTheme="majorHAnsi" w:hint="default"/>
        <w:b/>
        <w:bCs/>
        <w:i w:val="0"/>
        <w:iCs w:val="0"/>
        <w:color w:val="000000" w:themeColor="text1"/>
        <w:sz w:val="26"/>
        <w:szCs w:val="26"/>
        <w:u w:val="none"/>
      </w:rPr>
    </w:lvl>
    <w:lvl w:ilvl="4">
      <w:start w:val="1"/>
      <w:numFmt w:val="decimal"/>
      <w:suff w:val="nothing"/>
      <w:lvlText w:val="%1.%2.%3.%4.%5.  "/>
      <w:lvlJc w:val="left"/>
      <w:pPr>
        <w:ind w:left="0" w:firstLine="1418"/>
      </w:pPr>
      <w:rPr>
        <w:rFonts w:asciiTheme="majorHAnsi" w:hAnsiTheme="majorHAnsi" w:hint="default"/>
        <w:b/>
        <w:bCs/>
        <w:i w:val="0"/>
        <w:iCs w:val="0"/>
        <w:color w:val="000000" w:themeColor="text1"/>
        <w:sz w:val="24"/>
        <w:szCs w:val="24"/>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738724B"/>
    <w:multiLevelType w:val="multilevel"/>
    <w:tmpl w:val="1D140B58"/>
    <w:lvl w:ilvl="0">
      <w:start w:val="1"/>
      <w:numFmt w:val="decimal"/>
      <w:pStyle w:val="Conclusiones"/>
      <w:lvlText w:val="%1."/>
      <w:lvlJc w:val="left"/>
      <w:pPr>
        <w:ind w:left="927" w:hanging="360"/>
      </w:pPr>
      <w:rPr>
        <w:rFonts w:hint="default"/>
      </w:rPr>
    </w:lvl>
    <w:lvl w:ilvl="1">
      <w:start w:val="1"/>
      <w:numFmt w:val="bullet"/>
      <w:lvlText w:val=""/>
      <w:lvlJc w:val="left"/>
      <w:pPr>
        <w:ind w:left="1359" w:hanging="432"/>
      </w:pPr>
      <w:rPr>
        <w:rFonts w:ascii="Symbol" w:hAnsi="Symbol"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48022982"/>
    <w:multiLevelType w:val="hybridMultilevel"/>
    <w:tmpl w:val="860AB6C2"/>
    <w:lvl w:ilvl="0" w:tplc="14241BEC">
      <w:numFmt w:val="bullet"/>
      <w:lvlText w:val="-"/>
      <w:lvlJc w:val="left"/>
      <w:pPr>
        <w:ind w:left="1589" w:hanging="880"/>
      </w:pPr>
      <w:rPr>
        <w:rFonts w:ascii="Calibri" w:eastAsiaTheme="minorEastAsia" w:hAnsi="Calibri" w:cstheme="minorBidi"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93839E4"/>
    <w:multiLevelType w:val="hybridMultilevel"/>
    <w:tmpl w:val="0C72F43E"/>
    <w:lvl w:ilvl="0" w:tplc="9D74D2B2">
      <w:numFmt w:val="bullet"/>
      <w:pStyle w:val="Prrafodelista"/>
      <w:lvlText w:val="-"/>
      <w:lvlJc w:val="left"/>
      <w:pPr>
        <w:ind w:left="907" w:hanging="198"/>
      </w:pPr>
      <w:rPr>
        <w:rFonts w:ascii="Times New Roman" w:eastAsiaTheme="minorEastAsia" w:hAnsi="Times New Roman" w:cstheme="minorBidi"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4A9B64C5"/>
    <w:multiLevelType w:val="hybridMultilevel"/>
    <w:tmpl w:val="A88441A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C15EF4"/>
    <w:multiLevelType w:val="hybridMultilevel"/>
    <w:tmpl w:val="222A3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9A0AA6"/>
    <w:multiLevelType w:val="hybridMultilevel"/>
    <w:tmpl w:val="38103ABC"/>
    <w:lvl w:ilvl="0" w:tplc="F3849046">
      <w:start w:val="1"/>
      <w:numFmt w:val="bullet"/>
      <w:lvlText w:val="-"/>
      <w:lvlJc w:val="left"/>
      <w:pPr>
        <w:ind w:left="1069" w:hanging="360"/>
      </w:pPr>
      <w:rPr>
        <w:rFonts w:ascii="Times New Roman" w:eastAsiaTheme="minorEastAsia" w:hAnsi="Times New Roman" w:cs="Times New Roman"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75746A9"/>
    <w:multiLevelType w:val="multilevel"/>
    <w:tmpl w:val="3F0E7782"/>
    <w:lvl w:ilvl="0">
      <w:start w:val="1"/>
      <w:numFmt w:val="decimal"/>
      <w:pStyle w:val="TtuloCaptulo"/>
      <w:suff w:val="space"/>
      <w:lvlText w:val="Capítulo %1"/>
      <w:lvlJc w:val="left"/>
      <w:pPr>
        <w:ind w:left="0" w:firstLine="0"/>
      </w:pPr>
      <w:rPr>
        <w:rFonts w:asciiTheme="majorHAnsi" w:hAnsiTheme="majorHAnsi" w:hint="default"/>
        <w:b/>
        <w:bCs/>
        <w:i w:val="0"/>
        <w:iCs w:val="0"/>
        <w:color w:val="auto"/>
        <w:sz w:val="56"/>
        <w:szCs w:val="56"/>
        <w:u w:val="none"/>
      </w:rPr>
    </w:lvl>
    <w:lvl w:ilvl="1">
      <w:start w:val="1"/>
      <w:numFmt w:val="decimal"/>
      <w:suff w:val="nothing"/>
      <w:lvlText w:val="%1.%2.  "/>
      <w:lvlJc w:val="left"/>
      <w:pPr>
        <w:ind w:left="0" w:firstLine="0"/>
      </w:pPr>
      <w:rPr>
        <w:rFonts w:asciiTheme="majorHAnsi" w:hAnsiTheme="majorHAnsi" w:hint="default"/>
        <w:b/>
        <w:bCs/>
        <w:i w:val="0"/>
        <w:iCs w:val="0"/>
        <w:color w:val="auto"/>
        <w:sz w:val="26"/>
        <w:szCs w:val="26"/>
        <w:u w:val="none"/>
      </w:rPr>
    </w:lvl>
    <w:lvl w:ilvl="2">
      <w:start w:val="1"/>
      <w:numFmt w:val="decimal"/>
      <w:pStyle w:val="Ttulo3"/>
      <w:suff w:val="nothing"/>
      <w:lvlText w:val="%1.%2.%3.  "/>
      <w:lvlJc w:val="left"/>
      <w:pPr>
        <w:ind w:left="0" w:firstLine="567"/>
      </w:pPr>
      <w:rPr>
        <w:rFonts w:asciiTheme="majorHAnsi" w:hAnsiTheme="majorHAnsi" w:hint="default"/>
        <w:b/>
        <w:bCs/>
        <w:i w:val="0"/>
        <w:iCs w:val="0"/>
        <w:color w:val="000000" w:themeColor="text1"/>
        <w:position w:val="0"/>
        <w:sz w:val="26"/>
        <w:szCs w:val="26"/>
        <w:u w:val="none"/>
      </w:rPr>
    </w:lvl>
    <w:lvl w:ilvl="3">
      <w:start w:val="1"/>
      <w:numFmt w:val="decimal"/>
      <w:pStyle w:val="Ttulo4"/>
      <w:suff w:val="nothing"/>
      <w:lvlText w:val="%1.%2.%3.%4.  "/>
      <w:lvlJc w:val="left"/>
      <w:pPr>
        <w:ind w:left="0" w:firstLine="1134"/>
      </w:pPr>
      <w:rPr>
        <w:rFonts w:asciiTheme="majorHAnsi" w:hAnsiTheme="majorHAnsi" w:hint="default"/>
        <w:b/>
        <w:bCs/>
        <w:i w:val="0"/>
        <w:iCs w:val="0"/>
        <w:color w:val="000000" w:themeColor="text1"/>
        <w:sz w:val="26"/>
        <w:szCs w:val="26"/>
        <w:u w:val="none"/>
      </w:rPr>
    </w:lvl>
    <w:lvl w:ilvl="4">
      <w:start w:val="1"/>
      <w:numFmt w:val="decimal"/>
      <w:pStyle w:val="Ttulo5"/>
      <w:suff w:val="nothing"/>
      <w:lvlText w:val="%1.%2.%3.%4.%5.  "/>
      <w:lvlJc w:val="left"/>
      <w:pPr>
        <w:ind w:left="0" w:firstLine="1418"/>
      </w:pPr>
      <w:rPr>
        <w:rFonts w:asciiTheme="majorHAnsi" w:hAnsiTheme="majorHAnsi" w:hint="default"/>
        <w:b/>
        <w:bCs/>
        <w:i w:val="0"/>
        <w:iCs w:val="0"/>
        <w:color w:val="000000" w:themeColor="text1"/>
        <w:sz w:val="24"/>
        <w:szCs w:val="24"/>
        <w:u w:val="none"/>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6" w15:restartNumberingAfterBreak="0">
    <w:nsid w:val="6D180B9D"/>
    <w:multiLevelType w:val="hybridMultilevel"/>
    <w:tmpl w:val="C37AC8FE"/>
    <w:lvl w:ilvl="0" w:tplc="508091AC">
      <w:start w:val="1"/>
      <w:numFmt w:val="upperRoman"/>
      <w:pStyle w:val="Estilomemoria"/>
      <w:lvlText w:val="%1."/>
      <w:lvlJc w:val="left"/>
      <w:pPr>
        <w:ind w:left="767" w:hanging="300"/>
      </w:pPr>
      <w:rPr>
        <w:rFonts w:hint="default"/>
        <w:b/>
        <w:bCs/>
        <w:w w:val="100"/>
        <w:u w:val="thick" w:color="276BA8"/>
        <w:lang w:val="es-ES" w:eastAsia="en-US" w:bidi="ar-SA"/>
      </w:rPr>
    </w:lvl>
    <w:lvl w:ilvl="1" w:tplc="7A68512E">
      <w:numFmt w:val="bullet"/>
      <w:lvlText w:val="•"/>
      <w:lvlJc w:val="left"/>
      <w:pPr>
        <w:ind w:left="1668" w:hanging="300"/>
      </w:pPr>
      <w:rPr>
        <w:rFonts w:hint="default"/>
        <w:lang w:val="es-ES" w:eastAsia="en-US" w:bidi="ar-SA"/>
      </w:rPr>
    </w:lvl>
    <w:lvl w:ilvl="2" w:tplc="D02232E4">
      <w:numFmt w:val="bullet"/>
      <w:lvlText w:val="•"/>
      <w:lvlJc w:val="left"/>
      <w:pPr>
        <w:ind w:left="2577" w:hanging="300"/>
      </w:pPr>
      <w:rPr>
        <w:rFonts w:hint="default"/>
        <w:lang w:val="es-ES" w:eastAsia="en-US" w:bidi="ar-SA"/>
      </w:rPr>
    </w:lvl>
    <w:lvl w:ilvl="3" w:tplc="C846C8E2">
      <w:numFmt w:val="bullet"/>
      <w:lvlText w:val="•"/>
      <w:lvlJc w:val="left"/>
      <w:pPr>
        <w:ind w:left="3485" w:hanging="300"/>
      </w:pPr>
      <w:rPr>
        <w:rFonts w:hint="default"/>
        <w:lang w:val="es-ES" w:eastAsia="en-US" w:bidi="ar-SA"/>
      </w:rPr>
    </w:lvl>
    <w:lvl w:ilvl="4" w:tplc="09E4D4A0">
      <w:numFmt w:val="bullet"/>
      <w:lvlText w:val="•"/>
      <w:lvlJc w:val="left"/>
      <w:pPr>
        <w:ind w:left="4394" w:hanging="300"/>
      </w:pPr>
      <w:rPr>
        <w:rFonts w:hint="default"/>
        <w:lang w:val="es-ES" w:eastAsia="en-US" w:bidi="ar-SA"/>
      </w:rPr>
    </w:lvl>
    <w:lvl w:ilvl="5" w:tplc="9EDAA29A">
      <w:numFmt w:val="bullet"/>
      <w:lvlText w:val="•"/>
      <w:lvlJc w:val="left"/>
      <w:pPr>
        <w:ind w:left="5303" w:hanging="300"/>
      </w:pPr>
      <w:rPr>
        <w:rFonts w:hint="default"/>
        <w:lang w:val="es-ES" w:eastAsia="en-US" w:bidi="ar-SA"/>
      </w:rPr>
    </w:lvl>
    <w:lvl w:ilvl="6" w:tplc="7494DBC8">
      <w:numFmt w:val="bullet"/>
      <w:lvlText w:val="•"/>
      <w:lvlJc w:val="left"/>
      <w:pPr>
        <w:ind w:left="6211" w:hanging="300"/>
      </w:pPr>
      <w:rPr>
        <w:rFonts w:hint="default"/>
        <w:lang w:val="es-ES" w:eastAsia="en-US" w:bidi="ar-SA"/>
      </w:rPr>
    </w:lvl>
    <w:lvl w:ilvl="7" w:tplc="471C4EB0">
      <w:numFmt w:val="bullet"/>
      <w:lvlText w:val="•"/>
      <w:lvlJc w:val="left"/>
      <w:pPr>
        <w:ind w:left="7120" w:hanging="300"/>
      </w:pPr>
      <w:rPr>
        <w:rFonts w:hint="default"/>
        <w:lang w:val="es-ES" w:eastAsia="en-US" w:bidi="ar-SA"/>
      </w:rPr>
    </w:lvl>
    <w:lvl w:ilvl="8" w:tplc="1DB629E0">
      <w:numFmt w:val="bullet"/>
      <w:lvlText w:val="•"/>
      <w:lvlJc w:val="left"/>
      <w:pPr>
        <w:ind w:left="8029" w:hanging="300"/>
      </w:pPr>
      <w:rPr>
        <w:rFonts w:hint="default"/>
        <w:lang w:val="es-ES" w:eastAsia="en-US" w:bidi="ar-SA"/>
      </w:rPr>
    </w:lvl>
  </w:abstractNum>
  <w:abstractNum w:abstractNumId="17" w15:restartNumberingAfterBreak="0">
    <w:nsid w:val="75D37B5A"/>
    <w:multiLevelType w:val="multilevel"/>
    <w:tmpl w:val="D5F8320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634987084">
    <w:abstractNumId w:val="3"/>
  </w:num>
  <w:num w:numId="2" w16cid:durableId="1000427608">
    <w:abstractNumId w:val="11"/>
  </w:num>
  <w:num w:numId="3" w16cid:durableId="1318916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002121">
    <w:abstractNumId w:val="14"/>
  </w:num>
  <w:num w:numId="5" w16cid:durableId="131365173">
    <w:abstractNumId w:val="0"/>
  </w:num>
  <w:num w:numId="6" w16cid:durableId="1390302879">
    <w:abstractNumId w:val="7"/>
  </w:num>
  <w:num w:numId="7" w16cid:durableId="1516773373">
    <w:abstractNumId w:val="15"/>
  </w:num>
  <w:num w:numId="8" w16cid:durableId="756753945">
    <w:abstractNumId w:val="10"/>
  </w:num>
  <w:num w:numId="9" w16cid:durableId="86928254">
    <w:abstractNumId w:val="8"/>
  </w:num>
  <w:num w:numId="10" w16cid:durableId="512309326">
    <w:abstractNumId w:val="9"/>
  </w:num>
  <w:num w:numId="11" w16cid:durableId="1529831726">
    <w:abstractNumId w:val="17"/>
  </w:num>
  <w:num w:numId="12" w16cid:durableId="1543903916">
    <w:abstractNumId w:val="6"/>
  </w:num>
  <w:num w:numId="13" w16cid:durableId="1763797861">
    <w:abstractNumId w:val="13"/>
  </w:num>
  <w:num w:numId="14" w16cid:durableId="73091719">
    <w:abstractNumId w:val="5"/>
  </w:num>
  <w:num w:numId="15" w16cid:durableId="841630262">
    <w:abstractNumId w:val="12"/>
  </w:num>
  <w:num w:numId="16" w16cid:durableId="1187334159">
    <w:abstractNumId w:val="4"/>
  </w:num>
  <w:num w:numId="17" w16cid:durableId="370618218">
    <w:abstractNumId w:val="1"/>
  </w:num>
  <w:num w:numId="18" w16cid:durableId="1337533389">
    <w:abstractNumId w:val="2"/>
  </w:num>
  <w:num w:numId="19" w16cid:durableId="503473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B0"/>
    <w:rsid w:val="00006EEC"/>
    <w:rsid w:val="000119CA"/>
    <w:rsid w:val="0001332B"/>
    <w:rsid w:val="00015B63"/>
    <w:rsid w:val="0002070D"/>
    <w:rsid w:val="00022352"/>
    <w:rsid w:val="00025A32"/>
    <w:rsid w:val="0002634B"/>
    <w:rsid w:val="000317A3"/>
    <w:rsid w:val="000457FF"/>
    <w:rsid w:val="00051F3E"/>
    <w:rsid w:val="00052826"/>
    <w:rsid w:val="0005639A"/>
    <w:rsid w:val="0005768C"/>
    <w:rsid w:val="00067807"/>
    <w:rsid w:val="00071B60"/>
    <w:rsid w:val="000829A2"/>
    <w:rsid w:val="000855E0"/>
    <w:rsid w:val="000858C9"/>
    <w:rsid w:val="0009261F"/>
    <w:rsid w:val="000943E7"/>
    <w:rsid w:val="00094B25"/>
    <w:rsid w:val="00095BB6"/>
    <w:rsid w:val="000969CA"/>
    <w:rsid w:val="00097E1E"/>
    <w:rsid w:val="000A1923"/>
    <w:rsid w:val="000A57A0"/>
    <w:rsid w:val="000A6E4A"/>
    <w:rsid w:val="000A74A6"/>
    <w:rsid w:val="000A79AF"/>
    <w:rsid w:val="000B1022"/>
    <w:rsid w:val="000B4C8E"/>
    <w:rsid w:val="000C36C3"/>
    <w:rsid w:val="000D132F"/>
    <w:rsid w:val="000D1D5B"/>
    <w:rsid w:val="000D41FB"/>
    <w:rsid w:val="000D70E2"/>
    <w:rsid w:val="000E0382"/>
    <w:rsid w:val="000F4309"/>
    <w:rsid w:val="000F4C31"/>
    <w:rsid w:val="000F63D3"/>
    <w:rsid w:val="000F783D"/>
    <w:rsid w:val="00100635"/>
    <w:rsid w:val="001010BD"/>
    <w:rsid w:val="0010548C"/>
    <w:rsid w:val="0011074D"/>
    <w:rsid w:val="00113E82"/>
    <w:rsid w:val="00116D09"/>
    <w:rsid w:val="00122FA4"/>
    <w:rsid w:val="001239DF"/>
    <w:rsid w:val="00126100"/>
    <w:rsid w:val="001269E4"/>
    <w:rsid w:val="00133BD9"/>
    <w:rsid w:val="00135351"/>
    <w:rsid w:val="0013713E"/>
    <w:rsid w:val="00144ECA"/>
    <w:rsid w:val="0014594C"/>
    <w:rsid w:val="001469AD"/>
    <w:rsid w:val="00147CA3"/>
    <w:rsid w:val="0015196F"/>
    <w:rsid w:val="00166F79"/>
    <w:rsid w:val="0017418D"/>
    <w:rsid w:val="001774D9"/>
    <w:rsid w:val="001802E7"/>
    <w:rsid w:val="00192B9F"/>
    <w:rsid w:val="001A0D0E"/>
    <w:rsid w:val="001A167C"/>
    <w:rsid w:val="001A5920"/>
    <w:rsid w:val="001A5C01"/>
    <w:rsid w:val="001A6392"/>
    <w:rsid w:val="001A65CB"/>
    <w:rsid w:val="001A6A04"/>
    <w:rsid w:val="001A72F4"/>
    <w:rsid w:val="001A73CD"/>
    <w:rsid w:val="001B0CF0"/>
    <w:rsid w:val="001C2806"/>
    <w:rsid w:val="001C49A6"/>
    <w:rsid w:val="001C58AC"/>
    <w:rsid w:val="001D02E1"/>
    <w:rsid w:val="001D0714"/>
    <w:rsid w:val="001D6E50"/>
    <w:rsid w:val="001D7B46"/>
    <w:rsid w:val="001E2158"/>
    <w:rsid w:val="001E6E6E"/>
    <w:rsid w:val="001F777D"/>
    <w:rsid w:val="00203226"/>
    <w:rsid w:val="002113EE"/>
    <w:rsid w:val="00211595"/>
    <w:rsid w:val="00214636"/>
    <w:rsid w:val="002255D8"/>
    <w:rsid w:val="00230212"/>
    <w:rsid w:val="00233B32"/>
    <w:rsid w:val="00233B42"/>
    <w:rsid w:val="00234589"/>
    <w:rsid w:val="00234D21"/>
    <w:rsid w:val="00235D0D"/>
    <w:rsid w:val="00236BA5"/>
    <w:rsid w:val="00236CCC"/>
    <w:rsid w:val="00237D1C"/>
    <w:rsid w:val="002403A4"/>
    <w:rsid w:val="00241D29"/>
    <w:rsid w:val="002422F3"/>
    <w:rsid w:val="00242F9C"/>
    <w:rsid w:val="00247AE2"/>
    <w:rsid w:val="00251E72"/>
    <w:rsid w:val="00252F29"/>
    <w:rsid w:val="002541E9"/>
    <w:rsid w:val="002626EA"/>
    <w:rsid w:val="00265D7C"/>
    <w:rsid w:val="00272AA4"/>
    <w:rsid w:val="00275647"/>
    <w:rsid w:val="002903B6"/>
    <w:rsid w:val="00290E4E"/>
    <w:rsid w:val="00293301"/>
    <w:rsid w:val="00293EE4"/>
    <w:rsid w:val="002A172F"/>
    <w:rsid w:val="002A389B"/>
    <w:rsid w:val="002B789D"/>
    <w:rsid w:val="002C22D5"/>
    <w:rsid w:val="002C23CF"/>
    <w:rsid w:val="002C53B7"/>
    <w:rsid w:val="002C6574"/>
    <w:rsid w:val="002D1D70"/>
    <w:rsid w:val="002D1F49"/>
    <w:rsid w:val="002D32CF"/>
    <w:rsid w:val="002D39B3"/>
    <w:rsid w:val="002D4B22"/>
    <w:rsid w:val="002E1279"/>
    <w:rsid w:val="002E2A9E"/>
    <w:rsid w:val="002E42C6"/>
    <w:rsid w:val="002E708E"/>
    <w:rsid w:val="002E7542"/>
    <w:rsid w:val="002F1F29"/>
    <w:rsid w:val="002F3988"/>
    <w:rsid w:val="002F6933"/>
    <w:rsid w:val="00301630"/>
    <w:rsid w:val="00306C2D"/>
    <w:rsid w:val="00310E38"/>
    <w:rsid w:val="00317C57"/>
    <w:rsid w:val="00336C41"/>
    <w:rsid w:val="00341B24"/>
    <w:rsid w:val="00353852"/>
    <w:rsid w:val="00357F7E"/>
    <w:rsid w:val="00364F9F"/>
    <w:rsid w:val="00367DBF"/>
    <w:rsid w:val="003740E4"/>
    <w:rsid w:val="003814C4"/>
    <w:rsid w:val="003842D3"/>
    <w:rsid w:val="003903A0"/>
    <w:rsid w:val="003912DB"/>
    <w:rsid w:val="00395CD0"/>
    <w:rsid w:val="00397BE8"/>
    <w:rsid w:val="003A1FE4"/>
    <w:rsid w:val="003A6799"/>
    <w:rsid w:val="003B5542"/>
    <w:rsid w:val="003C0DFB"/>
    <w:rsid w:val="003C51F3"/>
    <w:rsid w:val="003C7147"/>
    <w:rsid w:val="003C7253"/>
    <w:rsid w:val="003D15AF"/>
    <w:rsid w:val="003D1988"/>
    <w:rsid w:val="003D397A"/>
    <w:rsid w:val="003D3BE8"/>
    <w:rsid w:val="003D7764"/>
    <w:rsid w:val="003E0426"/>
    <w:rsid w:val="003E3D21"/>
    <w:rsid w:val="003E431D"/>
    <w:rsid w:val="003F2155"/>
    <w:rsid w:val="003F452E"/>
    <w:rsid w:val="003F49A5"/>
    <w:rsid w:val="003F64BC"/>
    <w:rsid w:val="003F6618"/>
    <w:rsid w:val="00404C74"/>
    <w:rsid w:val="004063D4"/>
    <w:rsid w:val="00410834"/>
    <w:rsid w:val="004120A2"/>
    <w:rsid w:val="00415274"/>
    <w:rsid w:val="00417166"/>
    <w:rsid w:val="004230F0"/>
    <w:rsid w:val="00431EB8"/>
    <w:rsid w:val="00435682"/>
    <w:rsid w:val="00441F92"/>
    <w:rsid w:val="0044317E"/>
    <w:rsid w:val="00444FC1"/>
    <w:rsid w:val="00452E27"/>
    <w:rsid w:val="00453135"/>
    <w:rsid w:val="004536A7"/>
    <w:rsid w:val="00460D6E"/>
    <w:rsid w:val="004622F0"/>
    <w:rsid w:val="00464770"/>
    <w:rsid w:val="00466088"/>
    <w:rsid w:val="00472D9B"/>
    <w:rsid w:val="004816F1"/>
    <w:rsid w:val="00494750"/>
    <w:rsid w:val="004974AC"/>
    <w:rsid w:val="00497C9F"/>
    <w:rsid w:val="004A1CE7"/>
    <w:rsid w:val="004A386C"/>
    <w:rsid w:val="004A6B8A"/>
    <w:rsid w:val="004B6DFB"/>
    <w:rsid w:val="004C3016"/>
    <w:rsid w:val="004C530A"/>
    <w:rsid w:val="004C7691"/>
    <w:rsid w:val="004C77DE"/>
    <w:rsid w:val="004C795C"/>
    <w:rsid w:val="004D203D"/>
    <w:rsid w:val="004D37EC"/>
    <w:rsid w:val="004D709C"/>
    <w:rsid w:val="004D7BA5"/>
    <w:rsid w:val="004E5A66"/>
    <w:rsid w:val="004E6721"/>
    <w:rsid w:val="004E6BC8"/>
    <w:rsid w:val="004E7934"/>
    <w:rsid w:val="004E7CC9"/>
    <w:rsid w:val="004F308C"/>
    <w:rsid w:val="0050354A"/>
    <w:rsid w:val="00511D81"/>
    <w:rsid w:val="00512A3D"/>
    <w:rsid w:val="00515119"/>
    <w:rsid w:val="0052768D"/>
    <w:rsid w:val="00541942"/>
    <w:rsid w:val="00541BE5"/>
    <w:rsid w:val="00541C53"/>
    <w:rsid w:val="005428A4"/>
    <w:rsid w:val="005450AA"/>
    <w:rsid w:val="00551B15"/>
    <w:rsid w:val="00554794"/>
    <w:rsid w:val="00561065"/>
    <w:rsid w:val="0056339F"/>
    <w:rsid w:val="00565135"/>
    <w:rsid w:val="00571630"/>
    <w:rsid w:val="00574D6C"/>
    <w:rsid w:val="005761E4"/>
    <w:rsid w:val="00585E91"/>
    <w:rsid w:val="005904B0"/>
    <w:rsid w:val="005909BF"/>
    <w:rsid w:val="005909E6"/>
    <w:rsid w:val="00592DCE"/>
    <w:rsid w:val="005978E3"/>
    <w:rsid w:val="005A0588"/>
    <w:rsid w:val="005A0B85"/>
    <w:rsid w:val="005A3BAC"/>
    <w:rsid w:val="005A4A20"/>
    <w:rsid w:val="005A5CDD"/>
    <w:rsid w:val="005A76B1"/>
    <w:rsid w:val="005B2BE7"/>
    <w:rsid w:val="005B2C30"/>
    <w:rsid w:val="005B3DBE"/>
    <w:rsid w:val="005B60DC"/>
    <w:rsid w:val="005C0BBA"/>
    <w:rsid w:val="005C0C09"/>
    <w:rsid w:val="005C1956"/>
    <w:rsid w:val="005C28B3"/>
    <w:rsid w:val="005D263E"/>
    <w:rsid w:val="005D7E7D"/>
    <w:rsid w:val="005E2E7D"/>
    <w:rsid w:val="005F1FAD"/>
    <w:rsid w:val="005F50CF"/>
    <w:rsid w:val="00604887"/>
    <w:rsid w:val="00612708"/>
    <w:rsid w:val="00614657"/>
    <w:rsid w:val="006177CE"/>
    <w:rsid w:val="0062001D"/>
    <w:rsid w:val="0062124E"/>
    <w:rsid w:val="006249D5"/>
    <w:rsid w:val="006255E6"/>
    <w:rsid w:val="00625ED0"/>
    <w:rsid w:val="00627D63"/>
    <w:rsid w:val="00631325"/>
    <w:rsid w:val="00631493"/>
    <w:rsid w:val="006353A8"/>
    <w:rsid w:val="00642DEA"/>
    <w:rsid w:val="00645B24"/>
    <w:rsid w:val="00657AEF"/>
    <w:rsid w:val="006635E3"/>
    <w:rsid w:val="00663A12"/>
    <w:rsid w:val="00665CD9"/>
    <w:rsid w:val="00665E3E"/>
    <w:rsid w:val="006677FD"/>
    <w:rsid w:val="00672CB2"/>
    <w:rsid w:val="00674574"/>
    <w:rsid w:val="00677DCE"/>
    <w:rsid w:val="006811F0"/>
    <w:rsid w:val="00682E54"/>
    <w:rsid w:val="006839AF"/>
    <w:rsid w:val="00690A3B"/>
    <w:rsid w:val="00692D43"/>
    <w:rsid w:val="006931E8"/>
    <w:rsid w:val="00696E51"/>
    <w:rsid w:val="006A1348"/>
    <w:rsid w:val="006A602C"/>
    <w:rsid w:val="006A6132"/>
    <w:rsid w:val="006A7348"/>
    <w:rsid w:val="006B0BD3"/>
    <w:rsid w:val="006B0C80"/>
    <w:rsid w:val="006B0F4E"/>
    <w:rsid w:val="006B76FD"/>
    <w:rsid w:val="006B7C5D"/>
    <w:rsid w:val="006D08A5"/>
    <w:rsid w:val="006D4102"/>
    <w:rsid w:val="006D4DAC"/>
    <w:rsid w:val="006D6727"/>
    <w:rsid w:val="006F1668"/>
    <w:rsid w:val="006F2000"/>
    <w:rsid w:val="006F260D"/>
    <w:rsid w:val="006F3387"/>
    <w:rsid w:val="006F58B3"/>
    <w:rsid w:val="006F657F"/>
    <w:rsid w:val="0070191E"/>
    <w:rsid w:val="00701A38"/>
    <w:rsid w:val="00705A83"/>
    <w:rsid w:val="00711A65"/>
    <w:rsid w:val="00713736"/>
    <w:rsid w:val="00714061"/>
    <w:rsid w:val="007200D8"/>
    <w:rsid w:val="0072184B"/>
    <w:rsid w:val="00725473"/>
    <w:rsid w:val="0073048C"/>
    <w:rsid w:val="007337AC"/>
    <w:rsid w:val="0073735D"/>
    <w:rsid w:val="00741FD0"/>
    <w:rsid w:val="0074602A"/>
    <w:rsid w:val="00756D7A"/>
    <w:rsid w:val="00761DD5"/>
    <w:rsid w:val="00763E43"/>
    <w:rsid w:val="00765219"/>
    <w:rsid w:val="007659AA"/>
    <w:rsid w:val="00767589"/>
    <w:rsid w:val="00773A00"/>
    <w:rsid w:val="00773CCA"/>
    <w:rsid w:val="00777194"/>
    <w:rsid w:val="00793928"/>
    <w:rsid w:val="007A3C34"/>
    <w:rsid w:val="007A6723"/>
    <w:rsid w:val="007A7999"/>
    <w:rsid w:val="007B1384"/>
    <w:rsid w:val="007B4ACB"/>
    <w:rsid w:val="007B7852"/>
    <w:rsid w:val="007C0073"/>
    <w:rsid w:val="007C1381"/>
    <w:rsid w:val="007C1DA8"/>
    <w:rsid w:val="007C488B"/>
    <w:rsid w:val="007C5D1B"/>
    <w:rsid w:val="007D065C"/>
    <w:rsid w:val="007D0F84"/>
    <w:rsid w:val="007D0FAD"/>
    <w:rsid w:val="007D73CD"/>
    <w:rsid w:val="007E2FBD"/>
    <w:rsid w:val="008031DE"/>
    <w:rsid w:val="0080439A"/>
    <w:rsid w:val="00804EFD"/>
    <w:rsid w:val="008071B7"/>
    <w:rsid w:val="00807ECC"/>
    <w:rsid w:val="00813E8F"/>
    <w:rsid w:val="008216E0"/>
    <w:rsid w:val="00821EB2"/>
    <w:rsid w:val="008266B2"/>
    <w:rsid w:val="00830693"/>
    <w:rsid w:val="00836E8E"/>
    <w:rsid w:val="008473D4"/>
    <w:rsid w:val="00855241"/>
    <w:rsid w:val="008555E5"/>
    <w:rsid w:val="00866470"/>
    <w:rsid w:val="008671B7"/>
    <w:rsid w:val="00871B24"/>
    <w:rsid w:val="00872110"/>
    <w:rsid w:val="00872A3C"/>
    <w:rsid w:val="008777EB"/>
    <w:rsid w:val="00877CAA"/>
    <w:rsid w:val="008802B4"/>
    <w:rsid w:val="00881885"/>
    <w:rsid w:val="00881DAC"/>
    <w:rsid w:val="0088764D"/>
    <w:rsid w:val="00887BE2"/>
    <w:rsid w:val="008915AC"/>
    <w:rsid w:val="00892C1D"/>
    <w:rsid w:val="00892D65"/>
    <w:rsid w:val="00893171"/>
    <w:rsid w:val="00896291"/>
    <w:rsid w:val="008A21CE"/>
    <w:rsid w:val="008B292E"/>
    <w:rsid w:val="008C1BA5"/>
    <w:rsid w:val="008C341D"/>
    <w:rsid w:val="008C61BD"/>
    <w:rsid w:val="008D4738"/>
    <w:rsid w:val="008D7E39"/>
    <w:rsid w:val="008E1AA9"/>
    <w:rsid w:val="008F1AE3"/>
    <w:rsid w:val="00906FE0"/>
    <w:rsid w:val="00923FA3"/>
    <w:rsid w:val="00924D75"/>
    <w:rsid w:val="0093444E"/>
    <w:rsid w:val="0093544E"/>
    <w:rsid w:val="009376AE"/>
    <w:rsid w:val="00942B69"/>
    <w:rsid w:val="0095340A"/>
    <w:rsid w:val="00954A50"/>
    <w:rsid w:val="00954DEE"/>
    <w:rsid w:val="0095591A"/>
    <w:rsid w:val="00963BCC"/>
    <w:rsid w:val="00967253"/>
    <w:rsid w:val="00970211"/>
    <w:rsid w:val="00982846"/>
    <w:rsid w:val="0098421D"/>
    <w:rsid w:val="00985639"/>
    <w:rsid w:val="00986466"/>
    <w:rsid w:val="00986996"/>
    <w:rsid w:val="00991A96"/>
    <w:rsid w:val="0099599A"/>
    <w:rsid w:val="009A1C00"/>
    <w:rsid w:val="009A25DE"/>
    <w:rsid w:val="009A6591"/>
    <w:rsid w:val="009B03EE"/>
    <w:rsid w:val="009B5ABD"/>
    <w:rsid w:val="009B71DE"/>
    <w:rsid w:val="009C0142"/>
    <w:rsid w:val="009C27FE"/>
    <w:rsid w:val="009C4032"/>
    <w:rsid w:val="009D0A45"/>
    <w:rsid w:val="009D33E4"/>
    <w:rsid w:val="009D6BEF"/>
    <w:rsid w:val="009D736E"/>
    <w:rsid w:val="009D7885"/>
    <w:rsid w:val="009E12D5"/>
    <w:rsid w:val="009E16BC"/>
    <w:rsid w:val="009E2D08"/>
    <w:rsid w:val="009E472F"/>
    <w:rsid w:val="009F1315"/>
    <w:rsid w:val="009F15E8"/>
    <w:rsid w:val="009F3C21"/>
    <w:rsid w:val="009F4CFF"/>
    <w:rsid w:val="009F6459"/>
    <w:rsid w:val="00A0261D"/>
    <w:rsid w:val="00A04607"/>
    <w:rsid w:val="00A0613C"/>
    <w:rsid w:val="00A12339"/>
    <w:rsid w:val="00A22D67"/>
    <w:rsid w:val="00A26398"/>
    <w:rsid w:val="00A4130E"/>
    <w:rsid w:val="00A41CEF"/>
    <w:rsid w:val="00A55338"/>
    <w:rsid w:val="00A5595C"/>
    <w:rsid w:val="00A57C34"/>
    <w:rsid w:val="00A61930"/>
    <w:rsid w:val="00A64CD2"/>
    <w:rsid w:val="00A66A50"/>
    <w:rsid w:val="00A73415"/>
    <w:rsid w:val="00A867A2"/>
    <w:rsid w:val="00A92053"/>
    <w:rsid w:val="00A95EB3"/>
    <w:rsid w:val="00AA28D1"/>
    <w:rsid w:val="00AA51C2"/>
    <w:rsid w:val="00AA6A60"/>
    <w:rsid w:val="00AB211C"/>
    <w:rsid w:val="00AB436D"/>
    <w:rsid w:val="00AB5951"/>
    <w:rsid w:val="00AB7A47"/>
    <w:rsid w:val="00AC130A"/>
    <w:rsid w:val="00AC4746"/>
    <w:rsid w:val="00AD24DF"/>
    <w:rsid w:val="00AD7B72"/>
    <w:rsid w:val="00AE01A1"/>
    <w:rsid w:val="00AE030E"/>
    <w:rsid w:val="00AE047E"/>
    <w:rsid w:val="00AE1840"/>
    <w:rsid w:val="00AE323B"/>
    <w:rsid w:val="00AE3DB1"/>
    <w:rsid w:val="00AE5EAA"/>
    <w:rsid w:val="00AE70B8"/>
    <w:rsid w:val="00AF137E"/>
    <w:rsid w:val="00AF2808"/>
    <w:rsid w:val="00AF2BCF"/>
    <w:rsid w:val="00B00E67"/>
    <w:rsid w:val="00B0490C"/>
    <w:rsid w:val="00B12BFD"/>
    <w:rsid w:val="00B15AD1"/>
    <w:rsid w:val="00B210BA"/>
    <w:rsid w:val="00B278B1"/>
    <w:rsid w:val="00B31D94"/>
    <w:rsid w:val="00B33D96"/>
    <w:rsid w:val="00B3582D"/>
    <w:rsid w:val="00B3610C"/>
    <w:rsid w:val="00B40918"/>
    <w:rsid w:val="00B4146C"/>
    <w:rsid w:val="00B42AF3"/>
    <w:rsid w:val="00B43280"/>
    <w:rsid w:val="00B47EDC"/>
    <w:rsid w:val="00B507CC"/>
    <w:rsid w:val="00B52034"/>
    <w:rsid w:val="00B54DCA"/>
    <w:rsid w:val="00B567D2"/>
    <w:rsid w:val="00B61927"/>
    <w:rsid w:val="00B61DC3"/>
    <w:rsid w:val="00B753B4"/>
    <w:rsid w:val="00B815CC"/>
    <w:rsid w:val="00B826C4"/>
    <w:rsid w:val="00B8507B"/>
    <w:rsid w:val="00B905B7"/>
    <w:rsid w:val="00B9482A"/>
    <w:rsid w:val="00B97B6A"/>
    <w:rsid w:val="00BA1F2C"/>
    <w:rsid w:val="00BA4076"/>
    <w:rsid w:val="00BA7A4C"/>
    <w:rsid w:val="00BB6B4D"/>
    <w:rsid w:val="00BB6F03"/>
    <w:rsid w:val="00BB78A5"/>
    <w:rsid w:val="00BC356D"/>
    <w:rsid w:val="00BC63E7"/>
    <w:rsid w:val="00BE46F9"/>
    <w:rsid w:val="00BE48EC"/>
    <w:rsid w:val="00BF2E57"/>
    <w:rsid w:val="00C075AD"/>
    <w:rsid w:val="00C078BB"/>
    <w:rsid w:val="00C13E11"/>
    <w:rsid w:val="00C3301F"/>
    <w:rsid w:val="00C34734"/>
    <w:rsid w:val="00C3743D"/>
    <w:rsid w:val="00C37448"/>
    <w:rsid w:val="00C42D83"/>
    <w:rsid w:val="00C5044C"/>
    <w:rsid w:val="00C50C52"/>
    <w:rsid w:val="00C50FC8"/>
    <w:rsid w:val="00C51023"/>
    <w:rsid w:val="00C53342"/>
    <w:rsid w:val="00C53BEA"/>
    <w:rsid w:val="00C540F5"/>
    <w:rsid w:val="00C55FDD"/>
    <w:rsid w:val="00C65213"/>
    <w:rsid w:val="00C7155F"/>
    <w:rsid w:val="00C80397"/>
    <w:rsid w:val="00C868AE"/>
    <w:rsid w:val="00C87047"/>
    <w:rsid w:val="00C90416"/>
    <w:rsid w:val="00C9096B"/>
    <w:rsid w:val="00C91255"/>
    <w:rsid w:val="00C931A8"/>
    <w:rsid w:val="00C94684"/>
    <w:rsid w:val="00C94B43"/>
    <w:rsid w:val="00CA2E45"/>
    <w:rsid w:val="00CA59E1"/>
    <w:rsid w:val="00CA7F26"/>
    <w:rsid w:val="00CB4E47"/>
    <w:rsid w:val="00CC1473"/>
    <w:rsid w:val="00CC28AE"/>
    <w:rsid w:val="00CD415D"/>
    <w:rsid w:val="00CE1446"/>
    <w:rsid w:val="00CE5BD4"/>
    <w:rsid w:val="00CF1A89"/>
    <w:rsid w:val="00CF2494"/>
    <w:rsid w:val="00CF2638"/>
    <w:rsid w:val="00CF611B"/>
    <w:rsid w:val="00CF789B"/>
    <w:rsid w:val="00D00D8B"/>
    <w:rsid w:val="00D010F3"/>
    <w:rsid w:val="00D01949"/>
    <w:rsid w:val="00D01F41"/>
    <w:rsid w:val="00D03193"/>
    <w:rsid w:val="00D03C30"/>
    <w:rsid w:val="00D063CB"/>
    <w:rsid w:val="00D12987"/>
    <w:rsid w:val="00D1508A"/>
    <w:rsid w:val="00D15D71"/>
    <w:rsid w:val="00D22496"/>
    <w:rsid w:val="00D22BB5"/>
    <w:rsid w:val="00D2606F"/>
    <w:rsid w:val="00D313C6"/>
    <w:rsid w:val="00D31C32"/>
    <w:rsid w:val="00D341BB"/>
    <w:rsid w:val="00D34786"/>
    <w:rsid w:val="00D4334C"/>
    <w:rsid w:val="00D4392F"/>
    <w:rsid w:val="00D44AD2"/>
    <w:rsid w:val="00D46172"/>
    <w:rsid w:val="00D52EF8"/>
    <w:rsid w:val="00D5430F"/>
    <w:rsid w:val="00D54B62"/>
    <w:rsid w:val="00D54EAE"/>
    <w:rsid w:val="00D6270F"/>
    <w:rsid w:val="00D62E32"/>
    <w:rsid w:val="00D643BC"/>
    <w:rsid w:val="00D67D8B"/>
    <w:rsid w:val="00D72437"/>
    <w:rsid w:val="00D745E4"/>
    <w:rsid w:val="00D8027C"/>
    <w:rsid w:val="00D84068"/>
    <w:rsid w:val="00D86348"/>
    <w:rsid w:val="00D93E0D"/>
    <w:rsid w:val="00DA1076"/>
    <w:rsid w:val="00DA7B66"/>
    <w:rsid w:val="00DB1DB0"/>
    <w:rsid w:val="00DC19C6"/>
    <w:rsid w:val="00DC2570"/>
    <w:rsid w:val="00DC3D6D"/>
    <w:rsid w:val="00DC663B"/>
    <w:rsid w:val="00DD0574"/>
    <w:rsid w:val="00DD6B25"/>
    <w:rsid w:val="00DD76C2"/>
    <w:rsid w:val="00DD7C8E"/>
    <w:rsid w:val="00DE192B"/>
    <w:rsid w:val="00DE782D"/>
    <w:rsid w:val="00DF717A"/>
    <w:rsid w:val="00E02082"/>
    <w:rsid w:val="00E02A2B"/>
    <w:rsid w:val="00E058B0"/>
    <w:rsid w:val="00E12901"/>
    <w:rsid w:val="00E22051"/>
    <w:rsid w:val="00E22B3B"/>
    <w:rsid w:val="00E25EAD"/>
    <w:rsid w:val="00E379E5"/>
    <w:rsid w:val="00E4356B"/>
    <w:rsid w:val="00E5063D"/>
    <w:rsid w:val="00E51C1A"/>
    <w:rsid w:val="00E55525"/>
    <w:rsid w:val="00E57C39"/>
    <w:rsid w:val="00E614F3"/>
    <w:rsid w:val="00E629D2"/>
    <w:rsid w:val="00E6481A"/>
    <w:rsid w:val="00E64FD2"/>
    <w:rsid w:val="00E72EC6"/>
    <w:rsid w:val="00E738FD"/>
    <w:rsid w:val="00E877E5"/>
    <w:rsid w:val="00E90257"/>
    <w:rsid w:val="00E91D56"/>
    <w:rsid w:val="00E97934"/>
    <w:rsid w:val="00EA0C40"/>
    <w:rsid w:val="00EA17FE"/>
    <w:rsid w:val="00EB1611"/>
    <w:rsid w:val="00EC151D"/>
    <w:rsid w:val="00EC2CAF"/>
    <w:rsid w:val="00ED3A9C"/>
    <w:rsid w:val="00EE2DF2"/>
    <w:rsid w:val="00EE45D7"/>
    <w:rsid w:val="00EE54DD"/>
    <w:rsid w:val="00EF0E8B"/>
    <w:rsid w:val="00EF7EE7"/>
    <w:rsid w:val="00F037B4"/>
    <w:rsid w:val="00F10CFF"/>
    <w:rsid w:val="00F117A2"/>
    <w:rsid w:val="00F240C2"/>
    <w:rsid w:val="00F25A2E"/>
    <w:rsid w:val="00F26374"/>
    <w:rsid w:val="00F33E9E"/>
    <w:rsid w:val="00F408CE"/>
    <w:rsid w:val="00F40A55"/>
    <w:rsid w:val="00F40B83"/>
    <w:rsid w:val="00F43849"/>
    <w:rsid w:val="00F45D39"/>
    <w:rsid w:val="00F503A5"/>
    <w:rsid w:val="00F518B6"/>
    <w:rsid w:val="00F5581B"/>
    <w:rsid w:val="00F57E39"/>
    <w:rsid w:val="00F607F4"/>
    <w:rsid w:val="00F60C99"/>
    <w:rsid w:val="00F670D3"/>
    <w:rsid w:val="00F720E7"/>
    <w:rsid w:val="00F73F65"/>
    <w:rsid w:val="00F74FB5"/>
    <w:rsid w:val="00F76C0B"/>
    <w:rsid w:val="00F80F57"/>
    <w:rsid w:val="00F810A4"/>
    <w:rsid w:val="00F83CC6"/>
    <w:rsid w:val="00F84EE4"/>
    <w:rsid w:val="00F853E0"/>
    <w:rsid w:val="00F85CC7"/>
    <w:rsid w:val="00F91AC6"/>
    <w:rsid w:val="00F93FFE"/>
    <w:rsid w:val="00F95B9B"/>
    <w:rsid w:val="00F96EBF"/>
    <w:rsid w:val="00FA060D"/>
    <w:rsid w:val="00FA1175"/>
    <w:rsid w:val="00FA1DFF"/>
    <w:rsid w:val="00FA5644"/>
    <w:rsid w:val="00FB078E"/>
    <w:rsid w:val="00FB0C28"/>
    <w:rsid w:val="00FB4835"/>
    <w:rsid w:val="00FB5998"/>
    <w:rsid w:val="00FB6137"/>
    <w:rsid w:val="00FB7679"/>
    <w:rsid w:val="00FC05EB"/>
    <w:rsid w:val="00FC176F"/>
    <w:rsid w:val="00FC3218"/>
    <w:rsid w:val="00FC78FA"/>
    <w:rsid w:val="00FC7F99"/>
    <w:rsid w:val="00FD09E0"/>
    <w:rsid w:val="00FD6EF3"/>
    <w:rsid w:val="00FE2D4D"/>
    <w:rsid w:val="00FE312D"/>
    <w:rsid w:val="00FE600B"/>
    <w:rsid w:val="00FE72A8"/>
    <w:rsid w:val="00FF2B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C1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30"/>
    <w:rPr>
      <w:rFonts w:ascii="Times New Roman" w:eastAsia="Times New Roman" w:hAnsi="Times New Roman" w:cs="Times New Roman"/>
      <w:lang w:val="en-US" w:eastAsia="en-GB"/>
    </w:rPr>
  </w:style>
  <w:style w:type="paragraph" w:styleId="Ttulo1">
    <w:name w:val="heading 1"/>
    <w:aliases w:val="Título Artículo"/>
    <w:basedOn w:val="Normal"/>
    <w:next w:val="Normal"/>
    <w:link w:val="Ttulo1Car"/>
    <w:uiPriority w:val="9"/>
    <w:qFormat/>
    <w:rsid w:val="00E058B0"/>
    <w:pPr>
      <w:keepNext/>
      <w:keepLines/>
      <w:spacing w:before="480" w:line="480" w:lineRule="auto"/>
      <w:jc w:val="both"/>
      <w:outlineLvl w:val="0"/>
    </w:pPr>
    <w:rPr>
      <w:rFonts w:asciiTheme="majorHAnsi" w:eastAsiaTheme="majorEastAsia" w:hAnsiTheme="majorHAnsi" w:cstheme="majorBidi"/>
      <w:b/>
      <w:bCs/>
      <w:color w:val="2C6EAB" w:themeColor="accent1" w:themeShade="B5"/>
      <w:sz w:val="32"/>
      <w:szCs w:val="32"/>
      <w:lang w:val="en-GB" w:eastAsia="es-ES"/>
    </w:rPr>
  </w:style>
  <w:style w:type="paragraph" w:styleId="Ttulo2">
    <w:name w:val="heading 2"/>
    <w:aliases w:val="Título Epígrafe"/>
    <w:basedOn w:val="Normal"/>
    <w:next w:val="Normal"/>
    <w:link w:val="Ttulo2Car"/>
    <w:uiPriority w:val="9"/>
    <w:unhideWhenUsed/>
    <w:qFormat/>
    <w:rsid w:val="00E058B0"/>
    <w:pPr>
      <w:keepNext/>
      <w:keepLines/>
      <w:spacing w:before="600" w:after="240"/>
      <w:jc w:val="both"/>
      <w:outlineLvl w:val="1"/>
    </w:pPr>
    <w:rPr>
      <w:rFonts w:eastAsiaTheme="majorEastAsia" w:cstheme="majorBidi"/>
      <w:b/>
      <w:bCs/>
      <w:caps/>
      <w:color w:val="000000" w:themeColor="text1"/>
      <w:sz w:val="26"/>
      <w:szCs w:val="26"/>
      <w:lang w:val="en-GB" w:eastAsia="es-ES"/>
    </w:rPr>
  </w:style>
  <w:style w:type="paragraph" w:styleId="Ttulo3">
    <w:name w:val="heading 3"/>
    <w:basedOn w:val="Normal"/>
    <w:next w:val="Normal"/>
    <w:link w:val="Ttulo3Car"/>
    <w:uiPriority w:val="9"/>
    <w:unhideWhenUsed/>
    <w:qFormat/>
    <w:rsid w:val="00E058B0"/>
    <w:pPr>
      <w:keepNext/>
      <w:keepLines/>
      <w:numPr>
        <w:ilvl w:val="2"/>
        <w:numId w:val="7"/>
      </w:numPr>
      <w:spacing w:before="200" w:line="480" w:lineRule="auto"/>
      <w:jc w:val="both"/>
      <w:outlineLvl w:val="2"/>
    </w:pPr>
    <w:rPr>
      <w:rFonts w:asciiTheme="majorHAnsi" w:eastAsiaTheme="majorEastAsia" w:hAnsiTheme="majorHAnsi" w:cstheme="majorBidi"/>
      <w:b/>
      <w:bCs/>
      <w:color w:val="000000" w:themeColor="text1"/>
      <w:sz w:val="26"/>
      <w:lang w:val="en-GB" w:eastAsia="es-ES"/>
    </w:rPr>
  </w:style>
  <w:style w:type="paragraph" w:styleId="Ttulo4">
    <w:name w:val="heading 4"/>
    <w:basedOn w:val="Normal"/>
    <w:next w:val="Normal"/>
    <w:link w:val="Ttulo4Car"/>
    <w:uiPriority w:val="9"/>
    <w:unhideWhenUsed/>
    <w:qFormat/>
    <w:rsid w:val="00E058B0"/>
    <w:pPr>
      <w:keepNext/>
      <w:keepLines/>
      <w:numPr>
        <w:ilvl w:val="3"/>
        <w:numId w:val="7"/>
      </w:numPr>
      <w:spacing w:before="200" w:line="480" w:lineRule="auto"/>
      <w:jc w:val="both"/>
      <w:outlineLvl w:val="3"/>
    </w:pPr>
    <w:rPr>
      <w:rFonts w:asciiTheme="majorHAnsi" w:eastAsiaTheme="majorEastAsia" w:hAnsiTheme="majorHAnsi" w:cstheme="majorBidi"/>
      <w:b/>
      <w:bCs/>
      <w:i/>
      <w:iCs/>
      <w:color w:val="000000" w:themeColor="text1"/>
      <w:lang w:val="en-GB" w:eastAsia="es-ES"/>
    </w:rPr>
  </w:style>
  <w:style w:type="paragraph" w:styleId="Ttulo5">
    <w:name w:val="heading 5"/>
    <w:basedOn w:val="Normal"/>
    <w:next w:val="Normal"/>
    <w:link w:val="Ttulo5Car"/>
    <w:uiPriority w:val="9"/>
    <w:unhideWhenUsed/>
    <w:qFormat/>
    <w:rsid w:val="00E058B0"/>
    <w:pPr>
      <w:keepNext/>
      <w:keepLines/>
      <w:numPr>
        <w:ilvl w:val="4"/>
        <w:numId w:val="7"/>
      </w:numPr>
      <w:spacing w:before="200" w:line="480" w:lineRule="auto"/>
      <w:jc w:val="both"/>
      <w:outlineLvl w:val="4"/>
    </w:pPr>
    <w:rPr>
      <w:rFonts w:asciiTheme="majorHAnsi" w:eastAsiaTheme="majorEastAsia" w:hAnsiTheme="majorHAnsi" w:cstheme="majorBidi"/>
      <w:b/>
      <w:i/>
      <w:color w:val="000000" w:themeColor="text1"/>
      <w:lang w:val="en-GB" w:eastAsia="es-ES"/>
    </w:rPr>
  </w:style>
  <w:style w:type="paragraph" w:styleId="Ttulo6">
    <w:name w:val="heading 6"/>
    <w:basedOn w:val="Normal"/>
    <w:next w:val="Normal"/>
    <w:link w:val="Ttulo6Car"/>
    <w:uiPriority w:val="9"/>
    <w:semiHidden/>
    <w:unhideWhenUsed/>
    <w:qFormat/>
    <w:rsid w:val="00E058B0"/>
    <w:pPr>
      <w:keepNext/>
      <w:keepLines/>
      <w:numPr>
        <w:ilvl w:val="5"/>
        <w:numId w:val="7"/>
      </w:numPr>
      <w:spacing w:before="200" w:line="480" w:lineRule="auto"/>
      <w:jc w:val="both"/>
      <w:outlineLvl w:val="5"/>
    </w:pPr>
    <w:rPr>
      <w:rFonts w:asciiTheme="majorHAnsi" w:eastAsiaTheme="majorEastAsia" w:hAnsiTheme="majorHAnsi" w:cstheme="majorBidi"/>
      <w:i/>
      <w:iCs/>
      <w:color w:val="1F4D78" w:themeColor="accent1" w:themeShade="7F"/>
      <w:lang w:val="en-GB" w:eastAsia="es-ES"/>
    </w:rPr>
  </w:style>
  <w:style w:type="paragraph" w:styleId="Ttulo7">
    <w:name w:val="heading 7"/>
    <w:basedOn w:val="Normal"/>
    <w:next w:val="Normal"/>
    <w:link w:val="Ttulo7Car"/>
    <w:uiPriority w:val="9"/>
    <w:semiHidden/>
    <w:unhideWhenUsed/>
    <w:qFormat/>
    <w:rsid w:val="00E058B0"/>
    <w:pPr>
      <w:keepNext/>
      <w:keepLines/>
      <w:numPr>
        <w:ilvl w:val="6"/>
        <w:numId w:val="7"/>
      </w:numPr>
      <w:spacing w:before="200" w:line="480" w:lineRule="auto"/>
      <w:jc w:val="both"/>
      <w:outlineLvl w:val="6"/>
    </w:pPr>
    <w:rPr>
      <w:rFonts w:asciiTheme="majorHAnsi" w:eastAsiaTheme="majorEastAsia" w:hAnsiTheme="majorHAnsi" w:cstheme="majorBidi"/>
      <w:i/>
      <w:iCs/>
      <w:color w:val="404040" w:themeColor="text1" w:themeTint="BF"/>
      <w:lang w:val="en-GB" w:eastAsia="es-ES"/>
    </w:rPr>
  </w:style>
  <w:style w:type="paragraph" w:styleId="Ttulo8">
    <w:name w:val="heading 8"/>
    <w:basedOn w:val="Normal"/>
    <w:next w:val="Normal"/>
    <w:link w:val="Ttulo8Car"/>
    <w:uiPriority w:val="9"/>
    <w:semiHidden/>
    <w:unhideWhenUsed/>
    <w:qFormat/>
    <w:rsid w:val="00E058B0"/>
    <w:pPr>
      <w:keepNext/>
      <w:keepLines/>
      <w:numPr>
        <w:ilvl w:val="7"/>
        <w:numId w:val="7"/>
      </w:numPr>
      <w:spacing w:before="200" w:line="480" w:lineRule="auto"/>
      <w:jc w:val="both"/>
      <w:outlineLvl w:val="7"/>
    </w:pPr>
    <w:rPr>
      <w:rFonts w:asciiTheme="majorHAnsi" w:eastAsiaTheme="majorEastAsia" w:hAnsiTheme="majorHAnsi" w:cstheme="majorBidi"/>
      <w:color w:val="404040" w:themeColor="text1" w:themeTint="BF"/>
      <w:sz w:val="20"/>
      <w:szCs w:val="20"/>
      <w:lang w:val="en-GB" w:eastAsia="es-ES"/>
    </w:rPr>
  </w:style>
  <w:style w:type="paragraph" w:styleId="Ttulo9">
    <w:name w:val="heading 9"/>
    <w:basedOn w:val="Normal"/>
    <w:next w:val="Normal"/>
    <w:link w:val="Ttulo9Car"/>
    <w:uiPriority w:val="9"/>
    <w:semiHidden/>
    <w:unhideWhenUsed/>
    <w:qFormat/>
    <w:rsid w:val="00E058B0"/>
    <w:pPr>
      <w:keepNext/>
      <w:keepLines/>
      <w:numPr>
        <w:ilvl w:val="8"/>
        <w:numId w:val="7"/>
      </w:numPr>
      <w:spacing w:before="200" w:line="480" w:lineRule="auto"/>
      <w:jc w:val="both"/>
      <w:outlineLvl w:val="8"/>
    </w:pPr>
    <w:rPr>
      <w:rFonts w:asciiTheme="majorHAnsi" w:eastAsiaTheme="majorEastAsia" w:hAnsiTheme="majorHAnsi" w:cstheme="majorBidi"/>
      <w:i/>
      <w:iCs/>
      <w:color w:val="404040" w:themeColor="text1" w:themeTint="BF"/>
      <w:sz w:val="20"/>
      <w:szCs w:val="20"/>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qFormat/>
    <w:rsid w:val="005A76B1"/>
    <w:pPr>
      <w:spacing w:line="480" w:lineRule="auto"/>
      <w:ind w:firstLine="357"/>
      <w:jc w:val="both"/>
    </w:pPr>
    <w:rPr>
      <w:rFonts w:eastAsia="Calibri"/>
      <w:sz w:val="20"/>
      <w:szCs w:val="20"/>
      <w:lang w:val="en-GB" w:eastAsia="es-ES"/>
    </w:rPr>
  </w:style>
  <w:style w:type="character" w:customStyle="1" w:styleId="TextonotapieCar">
    <w:name w:val="Texto nota pie Car"/>
    <w:basedOn w:val="Fuentedeprrafopredeter"/>
    <w:link w:val="Textonotapie"/>
    <w:rsid w:val="005A76B1"/>
    <w:rPr>
      <w:rFonts w:ascii="Times New Roman" w:eastAsia="Calibri" w:hAnsi="Times New Roman" w:cs="Times New Roman"/>
      <w:sz w:val="20"/>
      <w:szCs w:val="20"/>
    </w:rPr>
  </w:style>
  <w:style w:type="paragraph" w:customStyle="1" w:styleId="TtuloTablas">
    <w:name w:val="Título Tablas"/>
    <w:basedOn w:val="Normal"/>
    <w:link w:val="TtuloTablasCar"/>
    <w:qFormat/>
    <w:rsid w:val="005A76B1"/>
    <w:pPr>
      <w:keepNext/>
      <w:spacing w:before="120" w:line="480" w:lineRule="auto"/>
      <w:ind w:firstLine="709"/>
      <w:jc w:val="center"/>
      <w:textAlignment w:val="baseline"/>
    </w:pPr>
    <w:rPr>
      <w:rFonts w:cs="Arial"/>
      <w:b/>
      <w:bCs/>
      <w:color w:val="000000"/>
      <w:kern w:val="24"/>
      <w:lang w:val="es-ES" w:eastAsia="es-ES"/>
    </w:rPr>
  </w:style>
  <w:style w:type="paragraph" w:customStyle="1" w:styleId="Fuente">
    <w:name w:val="Fuente"/>
    <w:basedOn w:val="Normal"/>
    <w:qFormat/>
    <w:rsid w:val="005A76B1"/>
    <w:pPr>
      <w:spacing w:after="180" w:line="480" w:lineRule="auto"/>
      <w:ind w:firstLine="709"/>
      <w:jc w:val="both"/>
    </w:pPr>
    <w:rPr>
      <w:rFonts w:eastAsia="Calibri"/>
      <w:sz w:val="20"/>
      <w:szCs w:val="20"/>
      <w:lang w:val="es-ES" w:eastAsia="es-ES"/>
    </w:rPr>
  </w:style>
  <w:style w:type="paragraph" w:customStyle="1" w:styleId="Normal2">
    <w:name w:val="Normal2"/>
    <w:basedOn w:val="Normal"/>
    <w:uiPriority w:val="1"/>
    <w:qFormat/>
    <w:rsid w:val="00D62E32"/>
    <w:pPr>
      <w:widowControl w:val="0"/>
      <w:spacing w:before="120" w:after="120" w:line="360" w:lineRule="auto"/>
      <w:ind w:firstLine="709"/>
      <w:jc w:val="both"/>
    </w:pPr>
    <w:rPr>
      <w:rFonts w:eastAsiaTheme="minorEastAsia" w:cstheme="minorBidi"/>
      <w:lang w:val="es-ES" w:eastAsia="es-ES"/>
    </w:rPr>
  </w:style>
  <w:style w:type="character" w:customStyle="1" w:styleId="Ttulo1Car">
    <w:name w:val="Título 1 Car"/>
    <w:aliases w:val="Título Artículo Car"/>
    <w:basedOn w:val="Fuentedeprrafopredeter"/>
    <w:link w:val="Ttulo1"/>
    <w:uiPriority w:val="9"/>
    <w:rsid w:val="00E058B0"/>
    <w:rPr>
      <w:rFonts w:asciiTheme="majorHAnsi" w:eastAsiaTheme="majorEastAsia" w:hAnsiTheme="majorHAnsi" w:cstheme="majorBidi"/>
      <w:b/>
      <w:bCs/>
      <w:color w:val="2C6EAB" w:themeColor="accent1" w:themeShade="B5"/>
      <w:sz w:val="32"/>
      <w:szCs w:val="32"/>
      <w:lang w:eastAsia="es-ES"/>
    </w:rPr>
  </w:style>
  <w:style w:type="character" w:customStyle="1" w:styleId="Ttulo2Car">
    <w:name w:val="Título 2 Car"/>
    <w:aliases w:val="Título Epígrafe Car"/>
    <w:basedOn w:val="Fuentedeprrafopredeter"/>
    <w:link w:val="Ttulo2"/>
    <w:uiPriority w:val="9"/>
    <w:rsid w:val="00E058B0"/>
    <w:rPr>
      <w:rFonts w:ascii="Times New Roman" w:eastAsiaTheme="majorEastAsia" w:hAnsi="Times New Roman" w:cstheme="majorBidi"/>
      <w:b/>
      <w:bCs/>
      <w:caps/>
      <w:color w:val="000000" w:themeColor="text1"/>
      <w:sz w:val="26"/>
      <w:szCs w:val="26"/>
      <w:lang w:eastAsia="es-ES"/>
    </w:rPr>
  </w:style>
  <w:style w:type="character" w:customStyle="1" w:styleId="Ttulo3Car">
    <w:name w:val="Título 3 Car"/>
    <w:basedOn w:val="Fuentedeprrafopredeter"/>
    <w:link w:val="Ttulo3"/>
    <w:uiPriority w:val="9"/>
    <w:rsid w:val="00E058B0"/>
    <w:rPr>
      <w:rFonts w:asciiTheme="majorHAnsi" w:eastAsiaTheme="majorEastAsia" w:hAnsiTheme="majorHAnsi" w:cstheme="majorBidi"/>
      <w:b/>
      <w:bCs/>
      <w:color w:val="000000" w:themeColor="text1"/>
      <w:sz w:val="26"/>
      <w:lang w:eastAsia="es-ES"/>
    </w:rPr>
  </w:style>
  <w:style w:type="character" w:customStyle="1" w:styleId="Ttulo4Car">
    <w:name w:val="Título 4 Car"/>
    <w:basedOn w:val="Fuentedeprrafopredeter"/>
    <w:link w:val="Ttulo4"/>
    <w:uiPriority w:val="9"/>
    <w:rsid w:val="00E058B0"/>
    <w:rPr>
      <w:rFonts w:asciiTheme="majorHAnsi" w:eastAsiaTheme="majorEastAsia" w:hAnsiTheme="majorHAnsi" w:cstheme="majorBidi"/>
      <w:b/>
      <w:bCs/>
      <w:i/>
      <w:iCs/>
      <w:color w:val="000000" w:themeColor="text1"/>
      <w:lang w:eastAsia="es-ES"/>
    </w:rPr>
  </w:style>
  <w:style w:type="character" w:customStyle="1" w:styleId="Ttulo5Car">
    <w:name w:val="Título 5 Car"/>
    <w:basedOn w:val="Fuentedeprrafopredeter"/>
    <w:link w:val="Ttulo5"/>
    <w:uiPriority w:val="9"/>
    <w:rsid w:val="00E058B0"/>
    <w:rPr>
      <w:rFonts w:asciiTheme="majorHAnsi" w:eastAsiaTheme="majorEastAsia" w:hAnsiTheme="majorHAnsi" w:cstheme="majorBidi"/>
      <w:b/>
      <w:i/>
      <w:color w:val="000000" w:themeColor="text1"/>
      <w:lang w:eastAsia="es-ES"/>
    </w:rPr>
  </w:style>
  <w:style w:type="character" w:customStyle="1" w:styleId="Ttulo6Car">
    <w:name w:val="Título 6 Car"/>
    <w:basedOn w:val="Fuentedeprrafopredeter"/>
    <w:link w:val="Ttulo6"/>
    <w:uiPriority w:val="9"/>
    <w:semiHidden/>
    <w:rsid w:val="00E058B0"/>
    <w:rPr>
      <w:rFonts w:asciiTheme="majorHAnsi" w:eastAsiaTheme="majorEastAsia" w:hAnsiTheme="majorHAnsi" w:cstheme="majorBidi"/>
      <w:i/>
      <w:iCs/>
      <w:color w:val="1F4D78" w:themeColor="accent1" w:themeShade="7F"/>
      <w:lang w:eastAsia="es-ES"/>
    </w:rPr>
  </w:style>
  <w:style w:type="character" w:customStyle="1" w:styleId="Ttulo7Car">
    <w:name w:val="Título 7 Car"/>
    <w:basedOn w:val="Fuentedeprrafopredeter"/>
    <w:link w:val="Ttulo7"/>
    <w:uiPriority w:val="9"/>
    <w:semiHidden/>
    <w:rsid w:val="00E058B0"/>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E058B0"/>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E058B0"/>
    <w:rPr>
      <w:rFonts w:asciiTheme="majorHAnsi" w:eastAsiaTheme="majorEastAsia" w:hAnsiTheme="majorHAnsi" w:cstheme="majorBidi"/>
      <w:i/>
      <w:iCs/>
      <w:color w:val="404040" w:themeColor="text1" w:themeTint="BF"/>
      <w:sz w:val="20"/>
      <w:szCs w:val="20"/>
      <w:lang w:eastAsia="es-ES"/>
    </w:rPr>
  </w:style>
  <w:style w:type="paragraph" w:styleId="Piedepgina">
    <w:name w:val="footer"/>
    <w:basedOn w:val="Normal"/>
    <w:link w:val="PiedepginaCar"/>
    <w:uiPriority w:val="99"/>
    <w:unhideWhenUsed/>
    <w:qFormat/>
    <w:rsid w:val="00E058B0"/>
    <w:pPr>
      <w:keepLines/>
      <w:tabs>
        <w:tab w:val="center" w:pos="4252"/>
        <w:tab w:val="right" w:pos="8504"/>
      </w:tabs>
      <w:spacing w:line="480" w:lineRule="auto"/>
      <w:jc w:val="both"/>
    </w:pPr>
    <w:rPr>
      <w:rFonts w:eastAsiaTheme="minorEastAsia" w:cstheme="minorBidi"/>
      <w:sz w:val="22"/>
      <w:lang w:val="en-GB" w:eastAsia="es-ES"/>
    </w:rPr>
  </w:style>
  <w:style w:type="character" w:customStyle="1" w:styleId="PiedepginaCar">
    <w:name w:val="Pie de página Car"/>
    <w:basedOn w:val="Fuentedeprrafopredeter"/>
    <w:link w:val="Piedepgina"/>
    <w:uiPriority w:val="99"/>
    <w:rsid w:val="00E058B0"/>
    <w:rPr>
      <w:rFonts w:ascii="Times New Roman" w:eastAsiaTheme="minorEastAsia" w:hAnsi="Times New Roman"/>
      <w:sz w:val="22"/>
      <w:lang w:eastAsia="es-ES"/>
    </w:rPr>
  </w:style>
  <w:style w:type="paragraph" w:customStyle="1" w:styleId="TtuloCaptulo">
    <w:name w:val="Título Capítulo"/>
    <w:basedOn w:val="Ttulo1"/>
    <w:link w:val="TtuloCaptuloCar"/>
    <w:qFormat/>
    <w:rsid w:val="00E058B0"/>
    <w:pPr>
      <w:keepNext w:val="0"/>
      <w:pageBreakBefore/>
      <w:numPr>
        <w:numId w:val="7"/>
      </w:numPr>
      <w:spacing w:before="4200" w:after="240"/>
    </w:pPr>
    <w:rPr>
      <w:rFonts w:ascii="Calibri" w:hAnsi="Calibri"/>
      <w:sz w:val="52"/>
      <w:szCs w:val="96"/>
      <w14:textOutline w14:w="9525" w14:cap="rnd" w14:cmpd="sng" w14:algn="ctr">
        <w14:solidFill>
          <w14:schemeClr w14:val="tx1"/>
        </w14:solidFill>
        <w14:prstDash w14:val="solid"/>
        <w14:bevel/>
      </w14:textOutline>
    </w:rPr>
  </w:style>
  <w:style w:type="character" w:customStyle="1" w:styleId="TtuloCaptuloCar">
    <w:name w:val="Título Capítulo Car"/>
    <w:basedOn w:val="Ttulo1Car"/>
    <w:link w:val="TtuloCaptulo"/>
    <w:rsid w:val="00E058B0"/>
    <w:rPr>
      <w:rFonts w:ascii="Calibri" w:eastAsiaTheme="majorEastAsia" w:hAnsi="Calibri" w:cstheme="majorBidi"/>
      <w:b/>
      <w:bCs/>
      <w:color w:val="2C6EAB" w:themeColor="accent1" w:themeShade="B5"/>
      <w:sz w:val="52"/>
      <w:szCs w:val="96"/>
      <w:lang w:eastAsia="es-ES"/>
      <w14:textOutline w14:w="9525" w14:cap="rnd" w14:cmpd="sng" w14:algn="ctr">
        <w14:solidFill>
          <w14:schemeClr w14:val="tx1"/>
        </w14:solidFill>
        <w14:prstDash w14:val="solid"/>
        <w14:bevel/>
      </w14:textOutline>
    </w:rPr>
  </w:style>
  <w:style w:type="paragraph" w:customStyle="1" w:styleId="Epgrafe1">
    <w:name w:val="Epígrafe 1"/>
    <w:basedOn w:val="Normal"/>
    <w:link w:val="Epgrafe1Car"/>
    <w:qFormat/>
    <w:rsid w:val="00E058B0"/>
    <w:pPr>
      <w:keepNext/>
      <w:numPr>
        <w:numId w:val="1"/>
      </w:numPr>
      <w:spacing w:before="240" w:line="480" w:lineRule="auto"/>
      <w:ind w:left="714" w:hanging="357"/>
      <w:jc w:val="both"/>
    </w:pPr>
    <w:rPr>
      <w:rFonts w:eastAsiaTheme="minorEastAsia" w:cstheme="minorBidi"/>
      <w:b/>
      <w:sz w:val="26"/>
      <w:lang w:val="en-GB" w:eastAsia="es-ES"/>
    </w:rPr>
  </w:style>
  <w:style w:type="character" w:customStyle="1" w:styleId="Epgrafe1Car">
    <w:name w:val="Epígrafe 1 Car"/>
    <w:basedOn w:val="Fuentedeprrafopredeter"/>
    <w:link w:val="Epgrafe1"/>
    <w:rsid w:val="00E058B0"/>
    <w:rPr>
      <w:rFonts w:ascii="Times New Roman" w:eastAsiaTheme="minorEastAsia" w:hAnsi="Times New Roman"/>
      <w:b/>
      <w:sz w:val="26"/>
      <w:lang w:eastAsia="es-ES"/>
    </w:rPr>
  </w:style>
  <w:style w:type="paragraph" w:customStyle="1" w:styleId="FuenteTablas">
    <w:name w:val="Fuente Tablas"/>
    <w:basedOn w:val="Normal"/>
    <w:qFormat/>
    <w:rsid w:val="00E058B0"/>
    <w:pPr>
      <w:spacing w:after="240" w:line="480" w:lineRule="auto"/>
    </w:pPr>
    <w:rPr>
      <w:rFonts w:eastAsiaTheme="minorEastAsia" w:cstheme="minorBidi"/>
      <w:sz w:val="22"/>
      <w:lang w:val="en-GB" w:eastAsia="es-ES"/>
    </w:rPr>
  </w:style>
  <w:style w:type="character" w:customStyle="1" w:styleId="TtuloTablasCar">
    <w:name w:val="Título Tablas Car"/>
    <w:basedOn w:val="Fuentedeprrafopredeter"/>
    <w:link w:val="TtuloTablas"/>
    <w:rsid w:val="00E058B0"/>
    <w:rPr>
      <w:rFonts w:ascii="Times New Roman" w:eastAsia="Times New Roman" w:hAnsi="Times New Roman" w:cs="Arial"/>
      <w:b/>
      <w:bCs/>
      <w:color w:val="000000"/>
      <w:kern w:val="24"/>
      <w:lang w:val="es-ES" w:eastAsia="es-ES"/>
    </w:rPr>
  </w:style>
  <w:style w:type="paragraph" w:styleId="Prrafodelista">
    <w:name w:val="List Paragraph"/>
    <w:basedOn w:val="Normal"/>
    <w:uiPriority w:val="34"/>
    <w:qFormat/>
    <w:rsid w:val="00E058B0"/>
    <w:pPr>
      <w:numPr>
        <w:numId w:val="2"/>
      </w:numPr>
      <w:spacing w:line="480" w:lineRule="auto"/>
      <w:contextualSpacing/>
      <w:jc w:val="both"/>
    </w:pPr>
    <w:rPr>
      <w:rFonts w:eastAsiaTheme="minorEastAsia" w:cstheme="minorBidi"/>
      <w:lang w:val="en-GB" w:eastAsia="es-ES"/>
    </w:rPr>
  </w:style>
  <w:style w:type="character" w:customStyle="1" w:styleId="TextodegloboCar">
    <w:name w:val="Texto de globo Car"/>
    <w:basedOn w:val="Fuentedeprrafopredeter"/>
    <w:link w:val="Textodeglobo"/>
    <w:uiPriority w:val="99"/>
    <w:semiHidden/>
    <w:rsid w:val="00E058B0"/>
    <w:rPr>
      <w:rFonts w:ascii="Lucida Grande" w:eastAsiaTheme="minorEastAsia" w:hAnsi="Lucida Grande"/>
      <w:sz w:val="18"/>
      <w:szCs w:val="18"/>
      <w:lang w:eastAsia="es-ES"/>
    </w:rPr>
  </w:style>
  <w:style w:type="paragraph" w:styleId="Textodeglobo">
    <w:name w:val="Balloon Text"/>
    <w:basedOn w:val="Normal"/>
    <w:link w:val="TextodegloboCar"/>
    <w:uiPriority w:val="99"/>
    <w:semiHidden/>
    <w:unhideWhenUsed/>
    <w:rsid w:val="00E058B0"/>
    <w:pPr>
      <w:spacing w:line="480" w:lineRule="auto"/>
      <w:ind w:firstLine="709"/>
      <w:jc w:val="both"/>
    </w:pPr>
    <w:rPr>
      <w:rFonts w:ascii="Lucida Grande" w:eastAsiaTheme="minorEastAsia" w:hAnsi="Lucida Grande" w:cstheme="minorBidi"/>
      <w:sz w:val="18"/>
      <w:szCs w:val="18"/>
      <w:lang w:val="en-GB" w:eastAsia="es-ES"/>
    </w:rPr>
  </w:style>
  <w:style w:type="character" w:customStyle="1" w:styleId="TextodegloboCar1">
    <w:name w:val="Texto de globo Car1"/>
    <w:basedOn w:val="Fuentedeprrafopredeter"/>
    <w:uiPriority w:val="99"/>
    <w:semiHidden/>
    <w:rsid w:val="00E058B0"/>
    <w:rPr>
      <w:rFonts w:ascii="Times New Roman" w:eastAsiaTheme="minorEastAsia" w:hAnsi="Times New Roman" w:cs="Times New Roman"/>
      <w:sz w:val="18"/>
      <w:szCs w:val="18"/>
      <w:lang w:eastAsia="es-ES"/>
    </w:rPr>
  </w:style>
  <w:style w:type="character" w:styleId="Refdenotaalpie">
    <w:name w:val="footnote reference"/>
    <w:basedOn w:val="Fuentedeprrafopredeter"/>
    <w:uiPriority w:val="99"/>
    <w:unhideWhenUsed/>
    <w:rsid w:val="00E058B0"/>
    <w:rPr>
      <w:vertAlign w:val="superscript"/>
    </w:rPr>
  </w:style>
  <w:style w:type="paragraph" w:styleId="Encabezado">
    <w:name w:val="header"/>
    <w:basedOn w:val="Normal"/>
    <w:link w:val="EncabezadoCar"/>
    <w:uiPriority w:val="99"/>
    <w:unhideWhenUsed/>
    <w:rsid w:val="00E058B0"/>
    <w:pPr>
      <w:tabs>
        <w:tab w:val="center" w:pos="4252"/>
        <w:tab w:val="right" w:pos="8504"/>
      </w:tabs>
      <w:spacing w:line="480" w:lineRule="auto"/>
      <w:ind w:firstLine="709"/>
      <w:jc w:val="both"/>
    </w:pPr>
    <w:rPr>
      <w:rFonts w:eastAsiaTheme="minorEastAsia" w:cstheme="minorBidi"/>
      <w:lang w:val="en-GB" w:eastAsia="es-ES"/>
    </w:rPr>
  </w:style>
  <w:style w:type="character" w:customStyle="1" w:styleId="EncabezadoCar">
    <w:name w:val="Encabezado Car"/>
    <w:basedOn w:val="Fuentedeprrafopredeter"/>
    <w:link w:val="Encabezado"/>
    <w:uiPriority w:val="99"/>
    <w:rsid w:val="00E058B0"/>
    <w:rPr>
      <w:rFonts w:ascii="Times New Roman" w:eastAsiaTheme="minorEastAsia" w:hAnsi="Times New Roman"/>
      <w:lang w:eastAsia="es-ES"/>
    </w:rPr>
  </w:style>
  <w:style w:type="character" w:customStyle="1" w:styleId="TextocomentarioCar">
    <w:name w:val="Texto comentario Car"/>
    <w:basedOn w:val="Fuentedeprrafopredeter"/>
    <w:link w:val="Textocomentario"/>
    <w:uiPriority w:val="99"/>
    <w:qFormat/>
    <w:rsid w:val="00A66A50"/>
    <w:rPr>
      <w:rFonts w:ascii="Times New Roman" w:eastAsiaTheme="minorEastAsia" w:hAnsi="Times New Roman"/>
      <w:sz w:val="20"/>
      <w:lang w:eastAsia="es-ES"/>
    </w:rPr>
  </w:style>
  <w:style w:type="paragraph" w:styleId="Textocomentario">
    <w:name w:val="annotation text"/>
    <w:basedOn w:val="Normal"/>
    <w:link w:val="TextocomentarioCar"/>
    <w:uiPriority w:val="99"/>
    <w:unhideWhenUsed/>
    <w:qFormat/>
    <w:rsid w:val="00A66A50"/>
    <w:pPr>
      <w:spacing w:line="480" w:lineRule="auto"/>
      <w:ind w:firstLine="709"/>
      <w:jc w:val="both"/>
    </w:pPr>
    <w:rPr>
      <w:rFonts w:eastAsiaTheme="minorEastAsia" w:cstheme="minorBidi"/>
      <w:sz w:val="20"/>
      <w:lang w:val="en-GB" w:eastAsia="es-ES"/>
    </w:rPr>
  </w:style>
  <w:style w:type="character" w:customStyle="1" w:styleId="TextocomentarioCar1">
    <w:name w:val="Texto comentario Car1"/>
    <w:basedOn w:val="Fuentedeprrafopredeter"/>
    <w:uiPriority w:val="99"/>
    <w:semiHidden/>
    <w:rsid w:val="00E058B0"/>
    <w:rPr>
      <w:rFonts w:ascii="Times New Roman" w:eastAsiaTheme="minorEastAsia" w:hAnsi="Times New Roman"/>
      <w:lang w:eastAsia="es-ES"/>
    </w:rPr>
  </w:style>
  <w:style w:type="character" w:customStyle="1" w:styleId="AsuntodelcomentarioCar">
    <w:name w:val="Asunto del comentario Car"/>
    <w:basedOn w:val="TextocomentarioCar"/>
    <w:link w:val="Asuntodelcomentario"/>
    <w:uiPriority w:val="99"/>
    <w:semiHidden/>
    <w:rsid w:val="00E058B0"/>
    <w:rPr>
      <w:rFonts w:ascii="Calibri" w:eastAsiaTheme="minorEastAsia" w:hAnsi="Calibri"/>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058B0"/>
    <w:rPr>
      <w:b/>
      <w:bCs/>
      <w:szCs w:val="20"/>
    </w:rPr>
  </w:style>
  <w:style w:type="character" w:customStyle="1" w:styleId="AsuntodelcomentarioCar1">
    <w:name w:val="Asunto del comentario Car1"/>
    <w:basedOn w:val="TextocomentarioCar1"/>
    <w:uiPriority w:val="99"/>
    <w:semiHidden/>
    <w:rsid w:val="00E058B0"/>
    <w:rPr>
      <w:rFonts w:ascii="Times New Roman" w:eastAsiaTheme="minorEastAsia" w:hAnsi="Times New Roman"/>
      <w:b/>
      <w:bCs/>
      <w:sz w:val="20"/>
      <w:szCs w:val="20"/>
      <w:lang w:eastAsia="es-ES"/>
    </w:rPr>
  </w:style>
  <w:style w:type="paragraph" w:styleId="Descripcin">
    <w:name w:val="caption"/>
    <w:aliases w:val="Epígrafe 2"/>
    <w:basedOn w:val="Normal"/>
    <w:next w:val="Normal"/>
    <w:uiPriority w:val="35"/>
    <w:unhideWhenUsed/>
    <w:qFormat/>
    <w:rsid w:val="00E058B0"/>
    <w:pPr>
      <w:spacing w:after="200" w:line="480" w:lineRule="auto"/>
      <w:ind w:firstLine="709"/>
      <w:jc w:val="both"/>
    </w:pPr>
    <w:rPr>
      <w:rFonts w:eastAsiaTheme="minorEastAsia" w:cstheme="minorBidi"/>
      <w:b/>
      <w:bCs/>
      <w:color w:val="5B9BD5" w:themeColor="accent1"/>
      <w:sz w:val="18"/>
      <w:szCs w:val="18"/>
      <w:lang w:val="en-GB" w:eastAsia="es-ES"/>
    </w:rPr>
  </w:style>
  <w:style w:type="character" w:customStyle="1" w:styleId="apple-converted-space">
    <w:name w:val="apple-converted-space"/>
    <w:basedOn w:val="Fuentedeprrafopredeter"/>
    <w:rsid w:val="00E058B0"/>
  </w:style>
  <w:style w:type="paragraph" w:customStyle="1" w:styleId="Grficosytablas">
    <w:name w:val="Gráficos y tablas"/>
    <w:qFormat/>
    <w:rsid w:val="00E058B0"/>
    <w:pPr>
      <w:keepNext/>
      <w:jc w:val="center"/>
    </w:pPr>
    <w:rPr>
      <w:rFonts w:ascii="Times New Roman" w:eastAsiaTheme="minorEastAsia" w:hAnsi="Times New Roman"/>
      <w:noProof/>
      <w:sz w:val="22"/>
      <w:lang w:val="es-ES" w:eastAsia="es-ES"/>
    </w:rPr>
  </w:style>
  <w:style w:type="paragraph" w:styleId="NormalWeb">
    <w:name w:val="Normal (Web)"/>
    <w:basedOn w:val="Normal"/>
    <w:uiPriority w:val="99"/>
    <w:unhideWhenUsed/>
    <w:rsid w:val="00E058B0"/>
    <w:pPr>
      <w:spacing w:before="100" w:beforeAutospacing="1" w:after="100" w:afterAutospacing="1" w:line="480" w:lineRule="auto"/>
    </w:pPr>
    <w:rPr>
      <w:rFonts w:ascii="Times" w:eastAsiaTheme="minorEastAsia" w:hAnsi="Times"/>
      <w:sz w:val="20"/>
      <w:szCs w:val="20"/>
      <w:lang w:val="en-GB" w:eastAsia="es-ES"/>
    </w:rPr>
  </w:style>
  <w:style w:type="paragraph" w:customStyle="1" w:styleId="Numberedlists">
    <w:name w:val="Numbered lists"/>
    <w:basedOn w:val="Normal"/>
    <w:next w:val="Normal"/>
    <w:rsid w:val="00E058B0"/>
    <w:pPr>
      <w:numPr>
        <w:numId w:val="6"/>
      </w:numPr>
      <w:spacing w:line="480" w:lineRule="auto"/>
      <w:jc w:val="both"/>
    </w:pPr>
    <w:rPr>
      <w:sz w:val="22"/>
      <w:szCs w:val="22"/>
      <w:lang w:val="en-GB"/>
    </w:rPr>
  </w:style>
  <w:style w:type="paragraph" w:customStyle="1" w:styleId="Equations">
    <w:name w:val="Equations"/>
    <w:basedOn w:val="Normal"/>
    <w:next w:val="Normal"/>
    <w:rsid w:val="00E058B0"/>
    <w:pPr>
      <w:spacing w:line="480" w:lineRule="auto"/>
      <w:jc w:val="center"/>
    </w:pPr>
    <w:rPr>
      <w:sz w:val="22"/>
      <w:szCs w:val="22"/>
      <w:lang w:val="en-GB"/>
    </w:rPr>
  </w:style>
  <w:style w:type="paragraph" w:customStyle="1" w:styleId="Paragraphstyle">
    <w:name w:val="Paragraph style"/>
    <w:basedOn w:val="Normal"/>
    <w:next w:val="Normal"/>
    <w:rsid w:val="00E058B0"/>
    <w:pPr>
      <w:spacing w:before="60" w:after="60" w:line="480" w:lineRule="auto"/>
      <w:ind w:firstLine="567"/>
      <w:jc w:val="both"/>
    </w:pPr>
    <w:rPr>
      <w:sz w:val="22"/>
      <w:szCs w:val="22"/>
      <w:lang w:val="en-GB"/>
    </w:rPr>
  </w:style>
  <w:style w:type="paragraph" w:styleId="Listaconnmeros2">
    <w:name w:val="List Number 2"/>
    <w:basedOn w:val="Normal"/>
    <w:rsid w:val="00E058B0"/>
    <w:pPr>
      <w:numPr>
        <w:numId w:val="5"/>
      </w:numPr>
      <w:spacing w:line="480" w:lineRule="auto"/>
      <w:ind w:left="641" w:hanging="357"/>
      <w:contextualSpacing/>
      <w:jc w:val="both"/>
    </w:pPr>
    <w:rPr>
      <w:sz w:val="22"/>
      <w:szCs w:val="22"/>
      <w:lang w:val="en-GB"/>
    </w:rPr>
  </w:style>
  <w:style w:type="character" w:styleId="Hipervnculo">
    <w:name w:val="Hyperlink"/>
    <w:basedOn w:val="Fuentedeprrafopredeter"/>
    <w:uiPriority w:val="99"/>
    <w:unhideWhenUsed/>
    <w:rsid w:val="00E058B0"/>
    <w:rPr>
      <w:color w:val="0000FF"/>
      <w:u w:val="single"/>
    </w:rPr>
  </w:style>
  <w:style w:type="paragraph" w:styleId="TDC1">
    <w:name w:val="toc 1"/>
    <w:basedOn w:val="Normal"/>
    <w:next w:val="Normal"/>
    <w:autoRedefine/>
    <w:uiPriority w:val="39"/>
    <w:unhideWhenUsed/>
    <w:rsid w:val="00E058B0"/>
    <w:pPr>
      <w:tabs>
        <w:tab w:val="right" w:leader="dot" w:pos="8505"/>
      </w:tabs>
      <w:spacing w:line="480" w:lineRule="auto"/>
      <w:ind w:right="567"/>
    </w:pPr>
    <w:rPr>
      <w:rFonts w:asciiTheme="minorHAnsi" w:eastAsiaTheme="minorEastAsia" w:hAnsiTheme="minorHAnsi" w:cstheme="minorBidi"/>
      <w:b/>
      <w:lang w:val="en-GB" w:eastAsia="es-ES"/>
    </w:rPr>
  </w:style>
  <w:style w:type="paragraph" w:styleId="TDC2">
    <w:name w:val="toc 2"/>
    <w:basedOn w:val="Normal"/>
    <w:next w:val="Normal"/>
    <w:autoRedefine/>
    <w:uiPriority w:val="39"/>
    <w:unhideWhenUsed/>
    <w:rsid w:val="00E058B0"/>
    <w:pPr>
      <w:tabs>
        <w:tab w:val="right" w:leader="dot" w:pos="8505"/>
      </w:tabs>
      <w:spacing w:line="480" w:lineRule="auto"/>
      <w:ind w:left="240" w:right="567" w:firstLine="709"/>
    </w:pPr>
    <w:rPr>
      <w:rFonts w:asciiTheme="minorHAnsi" w:eastAsiaTheme="minorEastAsia" w:hAnsiTheme="minorHAnsi" w:cstheme="minorBidi"/>
      <w:b/>
      <w:sz w:val="22"/>
      <w:szCs w:val="22"/>
      <w:lang w:val="en-GB" w:eastAsia="es-ES"/>
    </w:rPr>
  </w:style>
  <w:style w:type="paragraph" w:styleId="TDC3">
    <w:name w:val="toc 3"/>
    <w:basedOn w:val="Normal"/>
    <w:next w:val="Normal"/>
    <w:autoRedefine/>
    <w:uiPriority w:val="39"/>
    <w:unhideWhenUsed/>
    <w:rsid w:val="00E058B0"/>
    <w:pPr>
      <w:tabs>
        <w:tab w:val="right" w:leader="dot" w:pos="8505"/>
      </w:tabs>
      <w:spacing w:line="480" w:lineRule="auto"/>
      <w:ind w:left="480" w:right="567" w:firstLine="709"/>
    </w:pPr>
    <w:rPr>
      <w:rFonts w:asciiTheme="minorHAnsi" w:eastAsiaTheme="minorEastAsia" w:hAnsiTheme="minorHAnsi" w:cstheme="minorBidi"/>
      <w:sz w:val="22"/>
      <w:szCs w:val="22"/>
      <w:lang w:val="en-GB" w:eastAsia="es-ES"/>
    </w:rPr>
  </w:style>
  <w:style w:type="paragraph" w:styleId="TDC4">
    <w:name w:val="toc 4"/>
    <w:basedOn w:val="Normal"/>
    <w:next w:val="Normal"/>
    <w:autoRedefine/>
    <w:uiPriority w:val="39"/>
    <w:unhideWhenUsed/>
    <w:rsid w:val="00E058B0"/>
    <w:pPr>
      <w:tabs>
        <w:tab w:val="right" w:leader="dot" w:pos="8505"/>
      </w:tabs>
      <w:spacing w:line="480" w:lineRule="auto"/>
      <w:ind w:left="720" w:right="567" w:firstLine="709"/>
    </w:pPr>
    <w:rPr>
      <w:rFonts w:asciiTheme="minorHAnsi" w:eastAsiaTheme="minorEastAsia" w:hAnsiTheme="minorHAnsi" w:cstheme="minorBidi"/>
      <w:sz w:val="20"/>
      <w:szCs w:val="20"/>
      <w:lang w:val="en-GB" w:eastAsia="es-ES"/>
    </w:rPr>
  </w:style>
  <w:style w:type="paragraph" w:styleId="TDC5">
    <w:name w:val="toc 5"/>
    <w:basedOn w:val="Normal"/>
    <w:next w:val="Normal"/>
    <w:autoRedefine/>
    <w:uiPriority w:val="39"/>
    <w:unhideWhenUsed/>
    <w:rsid w:val="00E058B0"/>
    <w:pPr>
      <w:spacing w:line="480" w:lineRule="auto"/>
      <w:ind w:left="960" w:firstLine="709"/>
    </w:pPr>
    <w:rPr>
      <w:rFonts w:asciiTheme="minorHAnsi" w:eastAsiaTheme="minorEastAsia" w:hAnsiTheme="minorHAnsi" w:cstheme="minorBidi"/>
      <w:sz w:val="20"/>
      <w:szCs w:val="20"/>
      <w:lang w:val="en-GB" w:eastAsia="es-ES"/>
    </w:rPr>
  </w:style>
  <w:style w:type="paragraph" w:styleId="TDC6">
    <w:name w:val="toc 6"/>
    <w:basedOn w:val="Normal"/>
    <w:next w:val="Normal"/>
    <w:autoRedefine/>
    <w:uiPriority w:val="39"/>
    <w:unhideWhenUsed/>
    <w:rsid w:val="00E058B0"/>
    <w:pPr>
      <w:spacing w:line="480" w:lineRule="auto"/>
      <w:ind w:left="1200" w:firstLine="709"/>
    </w:pPr>
    <w:rPr>
      <w:rFonts w:asciiTheme="minorHAnsi" w:eastAsiaTheme="minorEastAsia" w:hAnsiTheme="minorHAnsi" w:cstheme="minorBidi"/>
      <w:sz w:val="20"/>
      <w:szCs w:val="20"/>
      <w:lang w:val="en-GB" w:eastAsia="es-ES"/>
    </w:rPr>
  </w:style>
  <w:style w:type="paragraph" w:styleId="TDC7">
    <w:name w:val="toc 7"/>
    <w:basedOn w:val="Normal"/>
    <w:next w:val="Normal"/>
    <w:autoRedefine/>
    <w:uiPriority w:val="39"/>
    <w:unhideWhenUsed/>
    <w:rsid w:val="00E058B0"/>
    <w:pPr>
      <w:spacing w:line="480" w:lineRule="auto"/>
      <w:ind w:left="1440" w:firstLine="709"/>
    </w:pPr>
    <w:rPr>
      <w:rFonts w:asciiTheme="minorHAnsi" w:eastAsiaTheme="minorEastAsia" w:hAnsiTheme="minorHAnsi" w:cstheme="minorBidi"/>
      <w:sz w:val="20"/>
      <w:szCs w:val="20"/>
      <w:lang w:val="en-GB" w:eastAsia="es-ES"/>
    </w:rPr>
  </w:style>
  <w:style w:type="paragraph" w:styleId="TDC8">
    <w:name w:val="toc 8"/>
    <w:basedOn w:val="Normal"/>
    <w:next w:val="Normal"/>
    <w:autoRedefine/>
    <w:uiPriority w:val="39"/>
    <w:unhideWhenUsed/>
    <w:rsid w:val="00E058B0"/>
    <w:pPr>
      <w:spacing w:line="480" w:lineRule="auto"/>
      <w:ind w:left="1680" w:firstLine="709"/>
    </w:pPr>
    <w:rPr>
      <w:rFonts w:asciiTheme="minorHAnsi" w:eastAsiaTheme="minorEastAsia" w:hAnsiTheme="minorHAnsi" w:cstheme="minorBidi"/>
      <w:sz w:val="20"/>
      <w:szCs w:val="20"/>
      <w:lang w:val="en-GB" w:eastAsia="es-ES"/>
    </w:rPr>
  </w:style>
  <w:style w:type="paragraph" w:styleId="TDC9">
    <w:name w:val="toc 9"/>
    <w:basedOn w:val="Normal"/>
    <w:next w:val="Normal"/>
    <w:autoRedefine/>
    <w:uiPriority w:val="39"/>
    <w:unhideWhenUsed/>
    <w:rsid w:val="00E058B0"/>
    <w:pPr>
      <w:spacing w:line="480" w:lineRule="auto"/>
      <w:ind w:left="1920" w:firstLine="709"/>
    </w:pPr>
    <w:rPr>
      <w:rFonts w:asciiTheme="minorHAnsi" w:eastAsiaTheme="minorEastAsia" w:hAnsiTheme="minorHAnsi" w:cstheme="minorBidi"/>
      <w:sz w:val="20"/>
      <w:szCs w:val="20"/>
      <w:lang w:val="en-GB" w:eastAsia="es-ES"/>
    </w:rPr>
  </w:style>
  <w:style w:type="paragraph" w:styleId="Sinespaciado">
    <w:name w:val="No Spacing"/>
    <w:uiPriority w:val="1"/>
    <w:qFormat/>
    <w:rsid w:val="00E058B0"/>
    <w:pPr>
      <w:ind w:firstLine="709"/>
      <w:jc w:val="both"/>
    </w:pPr>
    <w:rPr>
      <w:rFonts w:ascii="Calibri" w:eastAsiaTheme="minorEastAsia" w:hAnsi="Calibri"/>
      <w:lang w:eastAsia="es-ES"/>
    </w:rPr>
  </w:style>
  <w:style w:type="character" w:styleId="Textoennegrita">
    <w:name w:val="Strong"/>
    <w:basedOn w:val="Fuentedeprrafopredeter"/>
    <w:uiPriority w:val="22"/>
    <w:qFormat/>
    <w:rsid w:val="00E058B0"/>
    <w:rPr>
      <w:b/>
      <w:bCs/>
    </w:rPr>
  </w:style>
  <w:style w:type="paragraph" w:styleId="Citadestacada">
    <w:name w:val="Intense Quote"/>
    <w:basedOn w:val="Normal"/>
    <w:next w:val="Normal"/>
    <w:link w:val="CitadestacadaCar"/>
    <w:uiPriority w:val="30"/>
    <w:qFormat/>
    <w:rsid w:val="00E058B0"/>
    <w:pPr>
      <w:pBdr>
        <w:bottom w:val="single" w:sz="4" w:space="4" w:color="5B9BD5" w:themeColor="accent1"/>
      </w:pBdr>
      <w:spacing w:before="200" w:after="280" w:line="480" w:lineRule="auto"/>
      <w:ind w:left="936" w:right="936" w:firstLine="709"/>
      <w:jc w:val="both"/>
    </w:pPr>
    <w:rPr>
      <w:rFonts w:eastAsiaTheme="minorEastAsia" w:cstheme="minorBidi"/>
      <w:b/>
      <w:bCs/>
      <w:i/>
      <w:iCs/>
      <w:color w:val="5B9BD5" w:themeColor="accent1"/>
      <w:lang w:val="en-GB" w:eastAsia="es-ES"/>
    </w:rPr>
  </w:style>
  <w:style w:type="character" w:customStyle="1" w:styleId="CitadestacadaCar">
    <w:name w:val="Cita destacada Car"/>
    <w:basedOn w:val="Fuentedeprrafopredeter"/>
    <w:link w:val="Citadestacada"/>
    <w:uiPriority w:val="30"/>
    <w:rsid w:val="00E058B0"/>
    <w:rPr>
      <w:rFonts w:ascii="Times New Roman" w:eastAsiaTheme="minorEastAsia" w:hAnsi="Times New Roman"/>
      <w:b/>
      <w:bCs/>
      <w:i/>
      <w:iCs/>
      <w:color w:val="5B9BD5" w:themeColor="accent1"/>
      <w:lang w:eastAsia="es-ES"/>
    </w:rPr>
  </w:style>
  <w:style w:type="paragraph" w:customStyle="1" w:styleId="Conclusiones">
    <w:name w:val="Conclusiones"/>
    <w:qFormat/>
    <w:rsid w:val="00E058B0"/>
    <w:pPr>
      <w:numPr>
        <w:numId w:val="10"/>
      </w:numPr>
      <w:spacing w:before="120" w:after="120" w:line="360" w:lineRule="auto"/>
      <w:jc w:val="both"/>
    </w:pPr>
    <w:rPr>
      <w:rFonts w:ascii="Calibri" w:eastAsiaTheme="minorEastAsia" w:hAnsi="Calibri"/>
      <w:lang w:eastAsia="es-ES"/>
    </w:rPr>
  </w:style>
  <w:style w:type="paragraph" w:customStyle="1" w:styleId="Autora">
    <w:name w:val="Autoría"/>
    <w:basedOn w:val="Normal"/>
    <w:qFormat/>
    <w:rsid w:val="00E058B0"/>
    <w:pPr>
      <w:spacing w:line="480" w:lineRule="auto"/>
      <w:jc w:val="right"/>
    </w:pPr>
    <w:rPr>
      <w:rFonts w:eastAsiaTheme="minorEastAsia" w:cstheme="minorBidi"/>
      <w:lang w:val="en-GB" w:eastAsia="es-ES"/>
    </w:rPr>
  </w:style>
  <w:style w:type="character" w:styleId="Hipervnculovisitado">
    <w:name w:val="FollowedHyperlink"/>
    <w:basedOn w:val="Fuentedeprrafopredeter"/>
    <w:uiPriority w:val="99"/>
    <w:semiHidden/>
    <w:unhideWhenUsed/>
    <w:rsid w:val="00E058B0"/>
    <w:rPr>
      <w:color w:val="954F72" w:themeColor="followedHyperlink"/>
      <w:u w:val="single"/>
    </w:rPr>
  </w:style>
  <w:style w:type="paragraph" w:customStyle="1" w:styleId="Referencias">
    <w:name w:val="Referencias"/>
    <w:basedOn w:val="Normal"/>
    <w:qFormat/>
    <w:rsid w:val="00E058B0"/>
    <w:pPr>
      <w:spacing w:line="480" w:lineRule="auto"/>
      <w:ind w:left="709" w:hanging="709"/>
      <w:jc w:val="both"/>
    </w:pPr>
    <w:rPr>
      <w:rFonts w:eastAsia="Verdana" w:cs="Verdana"/>
      <w:color w:val="000000"/>
      <w:lang w:val="en-GB" w:eastAsia="es-ES"/>
    </w:rPr>
  </w:style>
  <w:style w:type="paragraph" w:customStyle="1" w:styleId="TtuloAbstract">
    <w:name w:val="Título Abstract"/>
    <w:basedOn w:val="Ttulo"/>
    <w:link w:val="TtuloAbstractCar"/>
    <w:qFormat/>
    <w:rsid w:val="00E058B0"/>
    <w:pPr>
      <w:pBdr>
        <w:bottom w:val="none" w:sz="0" w:space="0" w:color="auto"/>
      </w:pBdr>
      <w:spacing w:after="0"/>
    </w:pPr>
    <w:rPr>
      <w:rFonts w:ascii="Times New Roman" w:hAnsi="Times New Roman"/>
      <w:b/>
      <w:color w:val="auto"/>
      <w:sz w:val="20"/>
    </w:rPr>
  </w:style>
  <w:style w:type="character" w:customStyle="1" w:styleId="TtuloAbstractCar">
    <w:name w:val="Título Abstract Car"/>
    <w:basedOn w:val="Fuentedeprrafopredeter"/>
    <w:link w:val="TtuloAbstract"/>
    <w:rsid w:val="00E058B0"/>
    <w:rPr>
      <w:rFonts w:ascii="Times New Roman" w:eastAsiaTheme="majorEastAsia" w:hAnsi="Times New Roman" w:cstheme="majorBidi"/>
      <w:b/>
      <w:spacing w:val="5"/>
      <w:kern w:val="28"/>
      <w:sz w:val="20"/>
      <w:szCs w:val="52"/>
      <w:lang w:eastAsia="es-ES"/>
    </w:rPr>
  </w:style>
  <w:style w:type="paragraph" w:customStyle="1" w:styleId="NormalAbstract">
    <w:name w:val="Normal_Abstract"/>
    <w:basedOn w:val="Normal"/>
    <w:link w:val="NormalAbstractCar"/>
    <w:qFormat/>
    <w:rsid w:val="00E058B0"/>
    <w:pPr>
      <w:spacing w:line="480" w:lineRule="auto"/>
      <w:ind w:firstLine="709"/>
      <w:jc w:val="both"/>
    </w:pPr>
    <w:rPr>
      <w:rFonts w:eastAsiaTheme="minorEastAsia" w:cstheme="minorBidi"/>
      <w:lang w:val="en-GB" w:eastAsia="es-ES"/>
    </w:rPr>
  </w:style>
  <w:style w:type="character" w:customStyle="1" w:styleId="NormalAbstractCar">
    <w:name w:val="Normal_Abstract Car"/>
    <w:basedOn w:val="Fuentedeprrafopredeter"/>
    <w:link w:val="NormalAbstract"/>
    <w:rsid w:val="00E058B0"/>
    <w:rPr>
      <w:rFonts w:ascii="Times New Roman" w:eastAsiaTheme="minorEastAsia" w:hAnsi="Times New Roman"/>
      <w:lang w:eastAsia="es-ES"/>
    </w:rPr>
  </w:style>
  <w:style w:type="paragraph" w:customStyle="1" w:styleId="PalabraClave">
    <w:name w:val="Palabra Clave"/>
    <w:basedOn w:val="Normal"/>
    <w:link w:val="PalabraClaveCar"/>
    <w:qFormat/>
    <w:rsid w:val="00E058B0"/>
    <w:pPr>
      <w:spacing w:line="480" w:lineRule="auto"/>
      <w:ind w:firstLine="709"/>
      <w:jc w:val="both"/>
    </w:pPr>
    <w:rPr>
      <w:rFonts w:eastAsiaTheme="minorEastAsia" w:cstheme="minorBidi"/>
      <w:i/>
      <w:sz w:val="20"/>
      <w:lang w:val="en-GB" w:eastAsia="es-ES"/>
    </w:rPr>
  </w:style>
  <w:style w:type="character" w:customStyle="1" w:styleId="PalabraClaveCar">
    <w:name w:val="Palabra Clave Car"/>
    <w:basedOn w:val="Fuentedeprrafopredeter"/>
    <w:link w:val="PalabraClave"/>
    <w:rsid w:val="00E058B0"/>
    <w:rPr>
      <w:rFonts w:ascii="Times New Roman" w:eastAsiaTheme="minorEastAsia" w:hAnsi="Times New Roman"/>
      <w:i/>
      <w:sz w:val="20"/>
      <w:lang w:eastAsia="es-ES"/>
    </w:rPr>
  </w:style>
  <w:style w:type="paragraph" w:styleId="Ttulo">
    <w:name w:val="Title"/>
    <w:basedOn w:val="Normal"/>
    <w:next w:val="Normal"/>
    <w:link w:val="TtuloCar"/>
    <w:uiPriority w:val="10"/>
    <w:qFormat/>
    <w:rsid w:val="00E058B0"/>
    <w:pPr>
      <w:pBdr>
        <w:bottom w:val="single" w:sz="8" w:space="4" w:color="5B9BD5" w:themeColor="accent1"/>
      </w:pBdr>
      <w:spacing w:after="300" w:line="480" w:lineRule="auto"/>
      <w:ind w:firstLine="709"/>
      <w:contextualSpacing/>
      <w:jc w:val="both"/>
    </w:pPr>
    <w:rPr>
      <w:rFonts w:asciiTheme="majorHAnsi" w:eastAsiaTheme="majorEastAsia" w:hAnsiTheme="majorHAnsi" w:cstheme="majorBidi"/>
      <w:color w:val="323E4F" w:themeColor="text2" w:themeShade="BF"/>
      <w:spacing w:val="5"/>
      <w:kern w:val="28"/>
      <w:sz w:val="52"/>
      <w:szCs w:val="52"/>
      <w:lang w:val="en-GB" w:eastAsia="es-ES"/>
    </w:rPr>
  </w:style>
  <w:style w:type="character" w:customStyle="1" w:styleId="TtuloCar">
    <w:name w:val="Título Car"/>
    <w:basedOn w:val="Fuentedeprrafopredeter"/>
    <w:link w:val="Ttulo"/>
    <w:uiPriority w:val="10"/>
    <w:rsid w:val="00E058B0"/>
    <w:rPr>
      <w:rFonts w:asciiTheme="majorHAnsi" w:eastAsiaTheme="majorEastAsia" w:hAnsiTheme="majorHAnsi" w:cstheme="majorBidi"/>
      <w:color w:val="323E4F" w:themeColor="text2" w:themeShade="BF"/>
      <w:spacing w:val="5"/>
      <w:kern w:val="28"/>
      <w:sz w:val="52"/>
      <w:szCs w:val="52"/>
      <w:lang w:eastAsia="es-ES"/>
    </w:rPr>
  </w:style>
  <w:style w:type="paragraph" w:customStyle="1" w:styleId="TtuloReferenciasyAnexos">
    <w:name w:val="Título Referencias y Anexos"/>
    <w:basedOn w:val="Ttulo2"/>
    <w:link w:val="TtuloReferenciasyAnexosCar"/>
    <w:qFormat/>
    <w:rsid w:val="00E058B0"/>
    <w:pPr>
      <w:spacing w:before="200"/>
      <w:jc w:val="center"/>
    </w:pPr>
    <w:rPr>
      <w:sz w:val="28"/>
    </w:rPr>
  </w:style>
  <w:style w:type="character" w:customStyle="1" w:styleId="TtuloReferenciasyAnexosCar">
    <w:name w:val="Título Referencias y Anexos Car"/>
    <w:basedOn w:val="Ttulo2Car"/>
    <w:link w:val="TtuloReferenciasyAnexos"/>
    <w:rsid w:val="00E058B0"/>
    <w:rPr>
      <w:rFonts w:ascii="Times New Roman" w:eastAsiaTheme="majorEastAsia" w:hAnsi="Times New Roman" w:cstheme="majorBidi"/>
      <w:b/>
      <w:bCs/>
      <w:caps/>
      <w:color w:val="000000" w:themeColor="text1"/>
      <w:sz w:val="28"/>
      <w:szCs w:val="26"/>
      <w:lang w:eastAsia="es-ES"/>
    </w:rPr>
  </w:style>
  <w:style w:type="paragraph" w:styleId="Textonotaalfinal">
    <w:name w:val="endnote text"/>
    <w:basedOn w:val="Normal"/>
    <w:link w:val="TextonotaalfinalCar"/>
    <w:uiPriority w:val="99"/>
    <w:semiHidden/>
    <w:unhideWhenUsed/>
    <w:rsid w:val="00E058B0"/>
    <w:pPr>
      <w:spacing w:line="480" w:lineRule="auto"/>
      <w:ind w:firstLine="709"/>
      <w:jc w:val="both"/>
    </w:pPr>
    <w:rPr>
      <w:rFonts w:eastAsiaTheme="minorEastAsia" w:cstheme="minorBidi"/>
      <w:sz w:val="20"/>
      <w:szCs w:val="20"/>
      <w:lang w:val="en-GB" w:eastAsia="es-ES"/>
    </w:rPr>
  </w:style>
  <w:style w:type="character" w:customStyle="1" w:styleId="TextonotaalfinalCar">
    <w:name w:val="Texto nota al final Car"/>
    <w:basedOn w:val="Fuentedeprrafopredeter"/>
    <w:link w:val="Textonotaalfinal"/>
    <w:uiPriority w:val="99"/>
    <w:semiHidden/>
    <w:rsid w:val="00E058B0"/>
    <w:rPr>
      <w:rFonts w:ascii="Times New Roman" w:eastAsiaTheme="minorEastAsia" w:hAnsi="Times New Roman"/>
      <w:sz w:val="20"/>
      <w:szCs w:val="20"/>
      <w:lang w:eastAsia="es-ES"/>
    </w:rPr>
  </w:style>
  <w:style w:type="character" w:styleId="Refdenotaalfinal">
    <w:name w:val="endnote reference"/>
    <w:basedOn w:val="Fuentedeprrafopredeter"/>
    <w:uiPriority w:val="99"/>
    <w:semiHidden/>
    <w:unhideWhenUsed/>
    <w:rsid w:val="00E058B0"/>
    <w:rPr>
      <w:vertAlign w:val="superscript"/>
    </w:rPr>
  </w:style>
  <w:style w:type="character" w:styleId="Refdecomentario">
    <w:name w:val="annotation reference"/>
    <w:basedOn w:val="Fuentedeprrafopredeter"/>
    <w:uiPriority w:val="99"/>
    <w:semiHidden/>
    <w:unhideWhenUsed/>
    <w:rsid w:val="00E058B0"/>
    <w:rPr>
      <w:sz w:val="16"/>
      <w:szCs w:val="16"/>
    </w:rPr>
  </w:style>
  <w:style w:type="paragraph" w:styleId="Mapadeldocumento">
    <w:name w:val="Document Map"/>
    <w:basedOn w:val="Normal"/>
    <w:link w:val="MapadeldocumentoCar"/>
    <w:uiPriority w:val="99"/>
    <w:semiHidden/>
    <w:unhideWhenUsed/>
    <w:rsid w:val="00E058B0"/>
    <w:pPr>
      <w:ind w:firstLine="709"/>
      <w:jc w:val="both"/>
    </w:pPr>
    <w:rPr>
      <w:rFonts w:eastAsiaTheme="minorEastAsia"/>
      <w:lang w:val="en-GB" w:eastAsia="es-ES"/>
    </w:rPr>
  </w:style>
  <w:style w:type="character" w:customStyle="1" w:styleId="MapadeldocumentoCar">
    <w:name w:val="Mapa del documento Car"/>
    <w:basedOn w:val="Fuentedeprrafopredeter"/>
    <w:link w:val="Mapadeldocumento"/>
    <w:uiPriority w:val="99"/>
    <w:semiHidden/>
    <w:rsid w:val="00E058B0"/>
    <w:rPr>
      <w:rFonts w:ascii="Times New Roman" w:eastAsiaTheme="minorEastAsia" w:hAnsi="Times New Roman" w:cs="Times New Roman"/>
      <w:lang w:eastAsia="es-ES"/>
    </w:rPr>
  </w:style>
  <w:style w:type="paragraph" w:styleId="Revisin">
    <w:name w:val="Revision"/>
    <w:hidden/>
    <w:uiPriority w:val="99"/>
    <w:semiHidden/>
    <w:rsid w:val="00E058B0"/>
    <w:rPr>
      <w:rFonts w:ascii="Times New Roman" w:eastAsiaTheme="minorEastAsia" w:hAnsi="Times New Roman"/>
      <w:lang w:eastAsia="es-ES"/>
    </w:rPr>
  </w:style>
  <w:style w:type="table" w:styleId="Tablaconcuadrcula">
    <w:name w:val="Table Grid"/>
    <w:basedOn w:val="Tablanormal"/>
    <w:uiPriority w:val="39"/>
    <w:rsid w:val="004E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D02E1"/>
    <w:rPr>
      <w:color w:val="605E5C"/>
      <w:shd w:val="clear" w:color="auto" w:fill="E1DFDD"/>
    </w:rPr>
  </w:style>
  <w:style w:type="paragraph" w:customStyle="1" w:styleId="Estilomemoria">
    <w:name w:val="Estilo_memoria"/>
    <w:basedOn w:val="Ttulo2"/>
    <w:qFormat/>
    <w:rsid w:val="006A1348"/>
    <w:pPr>
      <w:keepNext w:val="0"/>
      <w:keepLines w:val="0"/>
      <w:numPr>
        <w:numId w:val="19"/>
      </w:numPr>
      <w:tabs>
        <w:tab w:val="left" w:pos="768"/>
      </w:tabs>
      <w:spacing w:before="172" w:after="0"/>
      <w:jc w:val="right"/>
    </w:pPr>
    <w:rPr>
      <w:rFonts w:eastAsia="Times New Roman" w:cs="Times New Roman"/>
      <w:caps w:val="0"/>
      <w:color w:val="276BA8"/>
      <w:kern w:val="2"/>
      <w:sz w:val="24"/>
      <w:szCs w:val="24"/>
      <w:u w:val="thick" w:color="276BA8"/>
      <w:lang w:val="es-ES" w:eastAsia="es-ES_tradnl"/>
      <w14:ligatures w14:val="standardContextual"/>
    </w:rPr>
  </w:style>
  <w:style w:type="character" w:styleId="nfasis">
    <w:name w:val="Emphasis"/>
    <w:basedOn w:val="Fuentedeprrafopredeter"/>
    <w:uiPriority w:val="20"/>
    <w:qFormat/>
    <w:rsid w:val="006A1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7468">
      <w:bodyDiv w:val="1"/>
      <w:marLeft w:val="0"/>
      <w:marRight w:val="0"/>
      <w:marTop w:val="0"/>
      <w:marBottom w:val="0"/>
      <w:divBdr>
        <w:top w:val="none" w:sz="0" w:space="0" w:color="auto"/>
        <w:left w:val="none" w:sz="0" w:space="0" w:color="auto"/>
        <w:bottom w:val="none" w:sz="0" w:space="0" w:color="auto"/>
        <w:right w:val="none" w:sz="0" w:space="0" w:color="auto"/>
      </w:divBdr>
    </w:div>
    <w:div w:id="1140924884">
      <w:bodyDiv w:val="1"/>
      <w:marLeft w:val="0"/>
      <w:marRight w:val="0"/>
      <w:marTop w:val="0"/>
      <w:marBottom w:val="0"/>
      <w:divBdr>
        <w:top w:val="none" w:sz="0" w:space="0" w:color="auto"/>
        <w:left w:val="none" w:sz="0" w:space="0" w:color="auto"/>
        <w:bottom w:val="none" w:sz="0" w:space="0" w:color="auto"/>
        <w:right w:val="none" w:sz="0" w:space="0" w:color="auto"/>
      </w:divBdr>
    </w:div>
    <w:div w:id="1924028760">
      <w:bodyDiv w:val="1"/>
      <w:marLeft w:val="0"/>
      <w:marRight w:val="0"/>
      <w:marTop w:val="0"/>
      <w:marBottom w:val="0"/>
      <w:divBdr>
        <w:top w:val="none" w:sz="0" w:space="0" w:color="auto"/>
        <w:left w:val="none" w:sz="0" w:space="0" w:color="auto"/>
        <w:bottom w:val="none" w:sz="0" w:space="0" w:color="auto"/>
        <w:right w:val="none" w:sz="0" w:space="0" w:color="auto"/>
      </w:divBdr>
    </w:div>
    <w:div w:id="207539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ejed.12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ejed.124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834E-7880-492C-B6F5-47E5F9F0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7453</Words>
  <Characters>44056</Characters>
  <Application>Microsoft Office Word</Application>
  <DocSecurity>0</DocSecurity>
  <Lines>1323</Lines>
  <Paragraphs>726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2025-12-29T09:39:00Z</dcterms:created>
  <dcterms:modified xsi:type="dcterms:W3CDTF">2026-01-13T13:46:00Z</dcterms:modified>
</cp:coreProperties>
</file>